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xlrgtpxwnr</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xlrgtpxwnr"/>
    <w:p>
      <w:pPr>
        <w:pStyle w:val="Heading2"/>
      </w:pPr>
      <w:r>
        <w:t xml:space="preserve">For xlrgtpxwnr</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otdwwhttnf</w:t>
      </w:r>
    </w:p>
    <w:p>
      <w:pPr>
        <w:pStyle w:val="BodyText"/>
      </w:pPr>
      <w:r>
        <w:rPr>
          <w:bCs/>
          <w:b/>
        </w:rPr>
        <w:t xml:space="preserve">Senior Sustainability Consultant:</w:t>
      </w:r>
      <w:r>
        <w:t xml:space="preserve"> </w:t>
      </w:r>
      <w:r>
        <w:t xml:space="preserve">fuolnlonri</w:t>
      </w:r>
    </w:p>
    <w:p>
      <w:pPr>
        <w:pStyle w:val="BodyText"/>
      </w:pPr>
      <w:r>
        <w:t xml:space="preserve">This report is generated based on available data and industry standards, providing an estimate of the product\'s carbon footprint.</w:t>
      </w:r>
    </w:p>
    <w:bookmarkEnd w:id="20"/>
    <w:bookmarkEnd w:id="21"/>
    <w:bookmarkStart w:id="47" w:name="Xe42065cdff5739574a0d14ad53fcee2e42cc71b"/>
    <w:p>
      <w:pPr>
        <w:pStyle w:val="Heading1"/>
      </w:pPr>
      <w:r>
        <w:t xml:space="preserve">Product Carbon Footprint Analysis for xlrgtpxwnr</w:t>
      </w:r>
    </w:p>
    <w:p>
      <w:pPr>
        <w:pStyle w:val="FirstParagraph"/>
      </w:pPr>
      <w:r>
        <w:rPr>
          <w:bCs/>
          <w:b/>
        </w:rPr>
        <w:t xml:space="preserve">Generated Date:</w:t>
      </w:r>
      <w:r>
        <w:t xml:space="preserve"> </w:t>
      </w:r>
      <w:r>
        <w:t xml:space="preserve">May 27,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detailed Product Carbon Footprint (PCF) analysis for xlrgtpxwnr, produced by otdwwhttnf.</w:t>
      </w:r>
      <w:r>
        <w:t xml:space="preserve"> </w:t>
      </w:r>
      <w:r>
        <w:t xml:space="preserve">The assessment adheres strictly to the GHG Protocol accounting standard, incorporating the 2026 Land Sector and Removals (LSR) update,</w:t>
      </w:r>
      <w:r>
        <w:t xml:space="preserve"> </w:t>
      </w:r>
      <w:r>
        <w:t xml:space="preserve">and aiming for at least 95% Scope 3 coverage. Conducted by fuolnlonri, Senior Sustainability Consultant,</w:t>
      </w:r>
      <w:r>
        <w:t xml:space="preserve"> </w:t>
      </w:r>
      <w:r>
        <w:t xml:space="preserve">the analysis evaluates emissions across the product\'s lifecycle from a factory-gate system boundary,</w:t>
      </w:r>
      <w:r>
        <w:t xml:space="preserve"> </w:t>
      </w:r>
      <w:r>
        <w:t xml:space="preserve">with a geographic scope covering final production in China and a supply chain focus on Europe.</w:t>
      </w:r>
      <w:r>
        <w:t xml:space="preserve"> </w:t>
      </w:r>
      <w:r>
        <w:t xml:space="preserve">Key areas of investigation include material impacts, energy consumption during production and use,</w:t>
      </w:r>
      <w:r>
        <w:t xml:space="preserve"> </w:t>
      </w:r>
      <w:r>
        <w:t xml:space="preserve">transport logistics, and end-of-life scenarios, providing insights into emission hotspots and</w:t>
      </w:r>
      <w:r>
        <w:t xml:space="preserve"> </w:t>
      </w:r>
      <w:r>
        <w:t xml:space="preserve">opportunities for reduction.</w:t>
      </w:r>
    </w:p>
    <w:p>
      <w:r>
        <w:pict>
          <v:rect style="width:0;height:1.5pt" o:hralign="center" o:hrstd="t" o:hr="t"/>
        </w:pict>
      </w:r>
    </w:p>
    <w:bookmarkEnd w:id="22"/>
    <w:bookmarkStart w:id="23" w:name="definition-of-scope"/>
    <w:p>
      <w:pPr>
        <w:pStyle w:val="Heading2"/>
      </w:pPr>
      <w:r>
        <w:t xml:space="preserve">1. Definition of Scope</w:t>
      </w:r>
    </w:p>
    <w:p>
      <w:pPr>
        <w:pStyle w:val="FirstParagraph"/>
      </w:pPr>
      <w:r>
        <w:t xml:space="preserve">The initial phase defines the boundaries and parameters for the Product Carbon Footprint (PCF) analysis of xlrgtpxwnr.</w:t>
      </w:r>
    </w:p>
    <w:p>
      <w:pPr>
        <w:numPr>
          <w:ilvl w:val="0"/>
          <w:numId w:val="1001"/>
        </w:numPr>
        <w:pStyle w:val="Compact"/>
      </w:pPr>
      <w:r>
        <w:rPr>
          <w:bCs/>
          <w:b/>
        </w:rPr>
        <w:t xml:space="preserve">Functional Unit:</w:t>
      </w:r>
      <w:r>
        <w:t xml:space="preserve"> </w:t>
      </w:r>
      <w:r>
        <w:t xml:space="preserve">1.0 unit of xlrgtpxwnr. This serves as the reference basis for quantifying all inputs and outputs.</w:t>
      </w:r>
    </w:p>
    <w:p>
      <w:pPr>
        <w:numPr>
          <w:ilvl w:val="0"/>
          <w:numId w:val="1001"/>
        </w:numPr>
        <w:pStyle w:val="Compact"/>
      </w:pPr>
      <w:r>
        <w:rPr>
          <w:bCs/>
          <w:b/>
        </w:rPr>
        <w:t xml:space="preserve">System Boundary:</w:t>
      </w:r>
      <w:r>
        <w:t xml:space="preserve"> </w:t>
      </w:r>
      <w:r>
        <w:t xml:space="preserve">Factory-gate. This boundary includes all processes from raw material extraction and processing, through manufacturing at the final production facility in China, up to the point where the finished product leaves the factory gate. It also encompasses upstream transportation of materials. Downstream activities such as distribution, use phase, and end-of-life are included to provide a comprehensive view of the product\'s lifecycle impact.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This implies that upstream material sourcing and intermediate processing primarily occur within or are connected to European supply chains before final assembly in China.</w:t>
      </w:r>
    </w:p>
    <w:p>
      <w:pPr>
        <w:numPr>
          <w:ilvl w:val="0"/>
          <w:numId w:val="1001"/>
        </w:numPr>
        <w:pStyle w:val="Compact"/>
      </w:pPr>
      <w:r>
        <w:rPr>
          <w:bCs/>
          <w:b/>
        </w:rPr>
        <w:t xml:space="preserve">Accounting Standard:</w:t>
      </w:r>
      <w:r>
        <w:t xml:space="preserve"> </w:t>
      </w:r>
      <w:r>
        <w:t xml:space="preserve">GHG Protocol. This analysis strictly follows the Greenhouse Gas Protocol Product Standard, ensuring consistency and comparability in emission calculations.</w:t>
      </w:r>
    </w:p>
    <w:p>
      <w:pPr>
        <w:numPr>
          <w:ilvl w:val="0"/>
          <w:numId w:val="1001"/>
        </w:numPr>
        <w:pStyle w:val="Compact"/>
      </w:pPr>
      <w:r>
        <w:rPr>
          <w:bCs/>
          <w:b/>
        </w:rPr>
        <w:t xml:space="preserve">Allocation:</w:t>
      </w:r>
      <w:r>
        <w:t xml:space="preserve"> </w:t>
      </w:r>
      <w:r>
        <w:t xml:space="preserve">Mass-based and direct attribution approaches are used where appropriate to assign environmental impacts to the functional unit. For shared processes, emissions are allocated based on the mass of the product.</w:t>
      </w:r>
    </w:p>
    <w:p>
      <w:r>
        <w:pict>
          <v:rect style="width:0;height:1.5pt" o:hralign="center" o:hrstd="t" o:hr="t"/>
        </w:pict>
      </w:r>
    </w:p>
    <w:bookmarkEnd w:id="23"/>
    <w:bookmarkStart w:id="29" w:name="X35745a8e252718d5a0d40cb3fbfce10aee0336d"/>
    <w:p>
      <w:pPr>
        <w:pStyle w:val="Heading2"/>
      </w:pPr>
      <w:r>
        <w:t xml:space="preserve">2. &amp; 3. Lifecycle Mapping (LCI Inventory Stages) &amp; Data Collection</w:t>
      </w:r>
    </w:p>
    <w:p>
      <w:pPr>
        <w:pStyle w:val="FirstParagraph"/>
      </w:pPr>
      <w:r>
        <w:t xml:space="preserve">This section details the lifecycle stages considered and the primary and secondary data points collected for the PCF analysis of xlrgtpxwnr.</w:t>
      </w:r>
    </w:p>
    <w:bookmarkStart w:id="24" w:name="X1428ec1d1885feb992205144a5c6ed055eb01cb"/>
    <w:p>
      <w:pPr>
        <w:pStyle w:val="Heading3"/>
      </w:pPr>
      <w:r>
        <w:t xml:space="preserve">Material Inputs (Detailed Bill of Materials - BOM)</w:t>
      </w:r>
    </w:p>
    <w:p>
      <w:pPr>
        <w:pStyle w:val="FirstParagraph"/>
      </w:pPr>
      <w:r>
        <w:t xml:space="preserve">The Detailed Bill of Materials (BOM) for xlrgtpxwnr (represented by `ygnzrsfy`) is crucial for calculating the upstream (Scope 3, Category 1: Purchased goods and services) material impacts.</w:t>
      </w:r>
      <w:r>
        <w:t xml:space="preserve"> </w:t>
      </w:r>
      <w:r>
        <w:t xml:space="preserve">Given `ygnzrsfy` is a placeholder string, for the purpose of this report, we present a sample BOM structured according to the specified format (ID, Description, Category, Process, Qty, Unit, Emission Factor, Total Carbon).</w:t>
      </w:r>
      <w:r>
        <w:t xml:space="preserve"> </w:t>
      </w:r>
      <w:r>
        <w:t xml:space="preserve">Actual values for `Emission Factor` are derived from generic industry averages, ensuring a representative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Production, 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M002</w:t>
            </w:r>
          </w:p>
        </w:tc>
        <w:tc>
          <w:tcPr/>
          <w:p>
            <w:pPr>
              <w:pStyle w:val="Compact"/>
              <w:jc w:val="left"/>
            </w:pPr>
            <w:r>
              <w:t xml:space="preserve">Recycled Plastic Housing</w:t>
            </w:r>
          </w:p>
        </w:tc>
        <w:tc>
          <w:tcPr/>
          <w:p>
            <w:pPr>
              <w:pStyle w:val="Compact"/>
              <w:jc w:val="left"/>
            </w:pPr>
            <w:r>
              <w:t xml:space="preserve">Plastics</w:t>
            </w:r>
          </w:p>
        </w:tc>
        <w:tc>
          <w:tcPr/>
          <w:p>
            <w:pPr>
              <w:pStyle w:val="Compact"/>
              <w:jc w:val="left"/>
            </w:pPr>
            <w:r>
              <w:t xml:space="preserve">Injection Molding (recycled content)</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 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M004</w:t>
            </w:r>
          </w:p>
        </w:tc>
        <w:tc>
          <w:tcPr/>
          <w:p>
            <w:pPr>
              <w:pStyle w:val="Compact"/>
              <w:jc w:val="left"/>
            </w:pPr>
            <w:r>
              <w:t xml:space="preserve">Silicon Microchip</w:t>
            </w:r>
          </w:p>
        </w:tc>
        <w:tc>
          <w:tcPr/>
          <w:p>
            <w:pPr>
              <w:pStyle w:val="Compact"/>
              <w:jc w:val="left"/>
            </w:pPr>
            <w:r>
              <w:t xml:space="preserve">Electronics</w:t>
            </w:r>
          </w:p>
        </w:tc>
        <w:tc>
          <w:tcPr/>
          <w:p>
            <w:pPr>
              <w:pStyle w:val="Compact"/>
              <w:jc w:val="left"/>
            </w:pPr>
            <w:r>
              <w:t xml:space="preserve">Wafer Fabrication, Assembly</w:t>
            </w:r>
          </w:p>
        </w:tc>
        <w:tc>
          <w:tcPr/>
          <w:p>
            <w:pPr>
              <w:pStyle w:val="Compact"/>
              <w:jc w:val="left"/>
            </w:pPr>
            <w:r>
              <w:t xml:space="preserve">0.01</w:t>
            </w:r>
          </w:p>
        </w:tc>
        <w:tc>
          <w:tcPr/>
          <w:p>
            <w:pPr>
              <w:pStyle w:val="Compact"/>
              <w:jc w:val="left"/>
            </w:pPr>
            <w:r>
              <w:t xml:space="preserve">kg</w:t>
            </w:r>
          </w:p>
        </w:tc>
        <w:tc>
          <w:tcPr/>
          <w:p>
            <w:pPr>
              <w:pStyle w:val="Compact"/>
              <w:jc w:val="left"/>
            </w:pPr>
            <w:r>
              <w:t xml:space="preserve">250.0</w:t>
            </w:r>
          </w:p>
        </w:tc>
        <w:tc>
          <w:tcPr/>
          <w:p>
            <w:pPr>
              <w:pStyle w:val="Compact"/>
              <w:jc w:val="left"/>
            </w:pPr>
            <w:r>
              <w:t xml:space="preserve">2.50</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Mining, Refining,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gridSpan w:val="7"/>
          </w:tcPr>
          <w:p>
            <w:pPr>
              <w:pStyle w:val="Compact"/>
              <w:jc w:val="left"/>
            </w:pPr>
            <w:r>
              <w:t xml:space="preserve">Subtotal Material Carbon Footprint</w:t>
            </w:r>
          </w:p>
        </w:tc>
        <w:tc>
          <w:tcPr/>
          <w:p>
            <w:pPr>
              <w:pStyle w:val="Compact"/>
              <w:jc w:val="left"/>
            </w:pPr>
            <w:r>
              <w:t xml:space="preserve">9.85</w:t>
            </w:r>
          </w:p>
        </w:tc>
      </w:tr>
    </w:tbl>
    <w:bookmarkEnd w:id="24"/>
    <w:bookmarkStart w:id="25" w:name="Xfbe7abce6eec3e7ebbc1108a591ccd36bb37451"/>
    <w:p>
      <w:pPr>
        <w:pStyle w:val="Heading3"/>
      </w:pPr>
      <w:r>
        <w:t xml:space="preserve">Logistics Data (Transport and Last-Mile Delivery)</w:t>
      </w:r>
    </w:p>
    <w:p>
      <w:pPr>
        <w:pStyle w:val="FirstParagraph"/>
      </w:pPr>
      <w:r>
        <w:t xml:space="preserve">Transportation plays a significant role in the overall PCF, encompassing both upstream (raw materials to factory) and downstream (factory to customer) movements. The following logistics data were incorporated:</w:t>
      </w:r>
    </w:p>
    <w:p>
      <w:pPr>
        <w:numPr>
          <w:ilvl w:val="0"/>
          <w:numId w:val="1003"/>
        </w:numPr>
        <w:pStyle w:val="Compact"/>
      </w:pPr>
      <w:r>
        <w:rPr>
          <w:bCs/>
          <w:b/>
        </w:rPr>
        <w:t xml:space="preserve">Transport Mode (Upstream/Main Distribution):</w:t>
      </w:r>
      <w:r>
        <w:t xml:space="preserve"> </w:t>
      </w:r>
      <w:r>
        <w:t xml:space="preserve">Select Mode. For calculation purposes, we assume</w:t>
      </w:r>
      <w:r>
        <w:t xml:space="preserve"> </w:t>
      </w:r>
      <w:r>
        <w:rPr>
          <w:bCs/>
          <w:b/>
        </w:rPr>
        <w:t xml:space="preserve">Road Freight (Heavy Duty Truck)</w:t>
      </w:r>
      <w:r>
        <w:t xml:space="preserve"> </w:t>
      </w:r>
      <w:r>
        <w:t xml:space="preserve">for upstream materials and initial distribution.</w:t>
      </w:r>
    </w:p>
    <w:p>
      <w:pPr>
        <w:numPr>
          <w:ilvl w:val="0"/>
          <w:numId w:val="1003"/>
        </w:numPr>
        <w:pStyle w:val="Compact"/>
      </w:pPr>
      <w:r>
        <w:rPr>
          <w:bCs/>
          <w:b/>
        </w:rPr>
        <w:t xml:space="preserve">Transport Distance (Upstream/Main Distribution):</w:t>
      </w:r>
      <w:r>
        <w:t xml:space="preserve"> </w:t>
      </w:r>
      <w:r>
        <w:t xml:space="preserve">`zexxwpvrfz`. For calculation purposes, we assume a distance of</w:t>
      </w:r>
      <w:r>
        <w:t xml:space="preserve"> </w:t>
      </w:r>
      <w:r>
        <w:rPr>
          <w:bCs/>
          <w:b/>
        </w:rPr>
        <w:t xml:space="preserve">1,500 km</w:t>
      </w:r>
      <w:r>
        <w:t xml:space="preserve">.</w:t>
      </w:r>
    </w:p>
    <w:p>
      <w:pPr>
        <w:numPr>
          <w:ilvl w:val="0"/>
          <w:numId w:val="1003"/>
        </w:numPr>
        <w:pStyle w:val="Compact"/>
      </w:pPr>
      <w:r>
        <w:rPr>
          <w:bCs/>
          <w:b/>
        </w:rPr>
        <w:t xml:space="preserve">Last-Mile Delivery Channel:</w:t>
      </w:r>
      <w:r>
        <w:t xml:space="preserve"> </w:t>
      </w:r>
      <w:r>
        <w:t xml:space="preserve">Delivery Type. For calculation purposes, we assume</w:t>
      </w:r>
      <w:r>
        <w:t xml:space="preserve"> </w:t>
      </w:r>
      <w:r>
        <w:rPr>
          <w:bCs/>
          <w:b/>
        </w:rPr>
        <w:t xml:space="preserve">Van Delivery</w:t>
      </w:r>
      <w:r>
        <w:t xml:space="preserve">.</w:t>
      </w:r>
    </w:p>
    <w:bookmarkEnd w:id="25"/>
    <w:bookmarkStart w:id="26" w:name="production-energy-data"/>
    <w:p>
      <w:pPr>
        <w:pStyle w:val="Heading3"/>
      </w:pPr>
      <w:r>
        <w:t xml:space="preserve">Production Energy Data</w:t>
      </w:r>
    </w:p>
    <w:p>
      <w:pPr>
        <w:pStyle w:val="FirstParagraph"/>
      </w:pPr>
      <w:r>
        <w:t xml:space="preserve">Energy consumption at the manufacturing facility is a direct contributor to the PCF. The following specific data was utilized:</w:t>
      </w:r>
    </w:p>
    <w:p>
      <w:pPr>
        <w:numPr>
          <w:ilvl w:val="0"/>
          <w:numId w:val="1004"/>
        </w:numPr>
        <w:pStyle w:val="Compact"/>
      </w:pPr>
      <w:r>
        <w:rPr>
          <w:bCs/>
          <w:b/>
        </w:rPr>
        <w:t xml:space="preserve">Renewable Energy Usage:</w:t>
      </w:r>
      <w:r>
        <w:t xml:space="preserve"> </w:t>
      </w:r>
      <w:r>
        <w:t xml:space="preserve">`tnpgqgheqm`. For calculation purposes, we assume</w:t>
      </w:r>
      <w:r>
        <w:t xml:space="preserve"> </w:t>
      </w:r>
      <w:r>
        <w:rPr>
          <w:bCs/>
          <w:b/>
        </w:rPr>
        <w:t xml:space="preserve">60% renewable electricity</w:t>
      </w:r>
      <w:r>
        <w:t xml:space="preserve"> </w:t>
      </w:r>
      <w:r>
        <w:t xml:space="preserve">is used at the production facility.</w:t>
      </w:r>
    </w:p>
    <w:p>
      <w:pPr>
        <w:numPr>
          <w:ilvl w:val="0"/>
          <w:numId w:val="1004"/>
        </w:numPr>
        <w:pStyle w:val="Compact"/>
      </w:pPr>
      <w:r>
        <w:rPr>
          <w:bCs/>
          <w:b/>
        </w:rPr>
        <w:t xml:space="preserve">Energy Intensity (kWh/unit):</w:t>
      </w:r>
      <w:r>
        <w:t xml:space="preserve"> </w:t>
      </w:r>
      <w:r>
        <w:t xml:space="preserve">`iqmeinrtzf`. For calculation purposes, we assume an intensity of</w:t>
      </w:r>
      <w:r>
        <w:t xml:space="preserve"> </w:t>
      </w:r>
      <w:r>
        <w:rPr>
          <w:bCs/>
          <w:b/>
        </w:rPr>
        <w:t xml:space="preserve">5.0 kWh/unit</w:t>
      </w:r>
      <w:r>
        <w:t xml:space="preserve">.</w:t>
      </w:r>
    </w:p>
    <w:bookmarkEnd w:id="26"/>
    <w:bookmarkStart w:id="27" w:name="use-phase-data"/>
    <w:p>
      <w:pPr>
        <w:pStyle w:val="Heading3"/>
      </w:pPr>
      <w:r>
        <w:t xml:space="preserve">Use Phase Data</w:t>
      </w:r>
    </w:p>
    <w:p>
      <w:pPr>
        <w:pStyle w:val="FirstParagraph"/>
      </w:pPr>
      <w:r>
        <w:t xml:space="preserve">The energy consumed during the product\'s lifetime in the hands of the consumer significantly contributes to its environmental impact.</w:t>
      </w:r>
    </w:p>
    <w:p>
      <w:pPr>
        <w:numPr>
          <w:ilvl w:val="0"/>
          <w:numId w:val="1005"/>
        </w:numPr>
        <w:pStyle w:val="Compact"/>
      </w:pPr>
      <w:r>
        <w:rPr>
          <w:bCs/>
          <w:b/>
        </w:rPr>
        <w:t xml:space="preserve">Product Lifespan:</w:t>
      </w:r>
      <w:r>
        <w:t xml:space="preserve"> </w:t>
      </w:r>
      <w:r>
        <w:t xml:space="preserve">`ugshgpljxp`. For calculation purposes, we assume a lifespan of</w:t>
      </w:r>
      <w:r>
        <w:t xml:space="preserve"> </w:t>
      </w:r>
      <w:r>
        <w:rPr>
          <w:bCs/>
          <w:b/>
        </w:rPr>
        <w:t xml:space="preserve">5 years</w:t>
      </w:r>
      <w:r>
        <w:t xml:space="preserve">.</w:t>
      </w:r>
    </w:p>
    <w:p>
      <w:pPr>
        <w:numPr>
          <w:ilvl w:val="0"/>
          <w:numId w:val="1005"/>
        </w:numPr>
        <w:pStyle w:val="Compact"/>
      </w:pPr>
      <w:r>
        <w:rPr>
          <w:bCs/>
          <w:b/>
        </w:rPr>
        <w:t xml:space="preserve">Energy Consumption in Use:</w:t>
      </w:r>
      <w:r>
        <w:t xml:space="preserve"> </w:t>
      </w:r>
      <w:r>
        <w:t xml:space="preserve">`guzkzmeufp`. For calculation purposes, we assume an annual energy consumption of</w:t>
      </w:r>
      <w:r>
        <w:t xml:space="preserve"> </w:t>
      </w:r>
      <w:r>
        <w:rPr>
          <w:bCs/>
          <w:b/>
        </w:rPr>
        <w:t xml:space="preserve">10 kWh/year</w:t>
      </w:r>
      <w:r>
        <w:t xml:space="preserve">.</w:t>
      </w:r>
    </w:p>
    <w:bookmarkEnd w:id="27"/>
    <w:bookmarkStart w:id="28" w:name="end-of-life-eol-scenarios-data"/>
    <w:p>
      <w:pPr>
        <w:pStyle w:val="Heading3"/>
      </w:pPr>
      <w:r>
        <w:t xml:space="preserve">End-of-Life (EoL) Scenarios Data</w:t>
      </w:r>
    </w:p>
    <w:p>
      <w:pPr>
        <w:pStyle w:val="FirstParagraph"/>
      </w:pPr>
      <w:r>
        <w:t xml:space="preserve">Circular economy principles are integrated by considering the end-of-life treatment of the product.</w:t>
      </w:r>
    </w:p>
    <w:p>
      <w:pPr>
        <w:numPr>
          <w:ilvl w:val="0"/>
          <w:numId w:val="1006"/>
        </w:numPr>
        <w:pStyle w:val="Compact"/>
      </w:pPr>
      <w:r>
        <w:rPr>
          <w:bCs/>
          <w:b/>
        </w:rPr>
        <w:t xml:space="preserve">Recyclability Percentage:</w:t>
      </w:r>
      <w:r>
        <w:t xml:space="preserve"> </w:t>
      </w:r>
      <w:r>
        <w:t xml:space="preserve">`youugehldo`. For calculation purposes, we assume</w:t>
      </w:r>
      <w:r>
        <w:t xml:space="preserve"> </w:t>
      </w:r>
      <w:r>
        <w:rPr>
          <w:bCs/>
          <w:b/>
        </w:rPr>
        <w:t xml:space="preserve">70% recyclability</w:t>
      </w:r>
      <w:r>
        <w:t xml:space="preserve"> </w:t>
      </w:r>
      <w:r>
        <w:t xml:space="preserve">for the product\'s materials.</w:t>
      </w:r>
    </w:p>
    <w:p>
      <w:pPr>
        <w:numPr>
          <w:ilvl w:val="0"/>
          <w:numId w:val="1006"/>
        </w:numPr>
        <w:pStyle w:val="Compact"/>
      </w:pPr>
      <w:r>
        <w:rPr>
          <w:bCs/>
          <w:b/>
        </w:rPr>
        <w:t xml:space="preserve">Circular/Take-back Programs:</w:t>
      </w:r>
      <w:r>
        <w:t xml:space="preserve"> </w:t>
      </w:r>
      <w:r>
        <w:t xml:space="preserve">`wznfwhxife`. We assume the presence of a</w:t>
      </w:r>
      <w:r>
        <w:t xml:space="preserve"> </w:t>
      </w:r>
      <w:r>
        <w:rPr>
          <w:bCs/>
          <w:b/>
        </w:rPr>
        <w:t xml:space="preserve">moderately effective take-back program</w:t>
      </w:r>
      <w:r>
        <w:t xml:space="preserve">, leading to a 10% reduction in waste to landfill for non-recycled components.</w:t>
      </w:r>
    </w:p>
    <w:p>
      <w:r>
        <w:pict>
          <v:rect style="width:0;height:1.5pt" o:hralign="center" o:hrstd="t" o:hr="t"/>
        </w:pict>
      </w:r>
    </w:p>
    <w:bookmarkEnd w:id="28"/>
    <w:bookmarkEnd w:id="29"/>
    <w:bookmarkStart w:id="43" w:name="X439a6e6dcb43c636bf515ffaf3f59bce0bd6490"/>
    <w:p>
      <w:pPr>
        <w:pStyle w:val="Heading2"/>
      </w:pPr>
      <w:r>
        <w:t xml:space="preserve">4. Emission Calculation (Activity * Emission Factor = CO2e)</w:t>
      </w:r>
    </w:p>
    <w:p>
      <w:pPr>
        <w:pStyle w:val="FirstParagraph"/>
      </w:pPr>
      <w:r>
        <w:t xml:space="preserve">Emissions are calculated for each stage of the product\'s lifecycle and categorized according to the GHG Protocol into Scope 1, Scope 2, and Scope 3.</w:t>
      </w:r>
    </w:p>
    <w:bookmarkStart w:id="30" w:name="Xd0ee1d7fd9e7f54d232648267cd8827bce40713"/>
    <w:p>
      <w:pPr>
        <w:pStyle w:val="Heading3"/>
      </w:pPr>
      <w:r>
        <w:t xml:space="preserve">Emission Factors Used (Representative Industry Averages)</w:t>
      </w:r>
    </w:p>
    <w:p>
      <w:pPr>
        <w:numPr>
          <w:ilvl w:val="0"/>
          <w:numId w:val="1007"/>
        </w:numPr>
        <w:pStyle w:val="Compact"/>
      </w:pPr>
      <w:r>
        <w:t xml:space="preserve">Electricity (China Grid Average): 0.65 kg CO2e/kWh (Based on values ranging from 0.8 to 1.2 kg CO2e kWh-1 for provinces in 2022, and a 2021 average of 0.6835 tCO2e/MWh which is 0.6835 kg CO2e/kWh)</w:t>
      </w:r>
    </w:p>
    <w:p>
      <w:pPr>
        <w:numPr>
          <w:ilvl w:val="0"/>
          <w:numId w:val="1007"/>
        </w:numPr>
        <w:pStyle w:val="Compact"/>
      </w:pPr>
      <w:r>
        <w:t xml:space="preserve">Electricity (Renewable - residual mix): 0.05 kg CO2e/kWh (A conservative estimate for residual emissions from renewable energy, as residual mix factors are typically higher than the grid average due to higher carbon fuels once renewable energy claims are removed)</w:t>
      </w:r>
    </w:p>
    <w:p>
      <w:pPr>
        <w:numPr>
          <w:ilvl w:val="0"/>
          <w:numId w:val="1007"/>
        </w:numPr>
        <w:pStyle w:val="Compact"/>
      </w:pPr>
      <w:r>
        <w:t xml:space="preserve">Road Freight (Heavy Duty Truck, average): 0.10 kg CO2e/tkm (Representative value; some sources suggest around 0.069 to 0.244 kgCO2e/tonne-km for road freight depending on vehicle type and region)</w:t>
      </w:r>
    </w:p>
    <w:p>
      <w:pPr>
        <w:numPr>
          <w:ilvl w:val="0"/>
          <w:numId w:val="1007"/>
        </w:numPr>
        <w:pStyle w:val="Compact"/>
      </w:pPr>
      <w:r>
        <w:t xml:space="preserve">Van Delivery (Last Mile, average): 0.25 kg CO2e/km (A UK-based average from 2024 is 0.24934 kg CO2e/km for an average van)</w:t>
      </w:r>
    </w:p>
    <w:p>
      <w:pPr>
        <w:numPr>
          <w:ilvl w:val="0"/>
          <w:numId w:val="1007"/>
        </w:numPr>
        <w:pStyle w:val="Compact"/>
      </w:pPr>
      <w:r>
        <w:t xml:space="preserve">Waste to Landfill (mixed waste): 0.5 kg CO2e/kg (Representative value; some factors range from 0.42 kg CO2e/kg for sludge to 680 kg CO2e/short ton, which is 0.749 kg CO2e/kg for mixed recyclables)</w:t>
      </w:r>
    </w:p>
    <w:p>
      <w:pPr>
        <w:numPr>
          <w:ilvl w:val="0"/>
          <w:numId w:val="1007"/>
        </w:numPr>
        <w:pStyle w:val="Compact"/>
      </w:pPr>
      <w:r>
        <w:t xml:space="preserve">Average Grid Electricity for Consumer Use (Europe): 0.25 kg CO2e/kWh (The average European Carbon Factor in 2024 was 0.181 kg CO2/MWh, or 0.181 kg CO2/kWh, with a range in EU of 0.334-0.620 g/kWh in 2017. 0.25 is a reasonable average)</w:t>
      </w:r>
    </w:p>
    <w:p>
      <w:r>
        <w:pict>
          <v:rect style="width:0;height:1.5pt" o:hralign="center" o:hrstd="t" o:hr="t"/>
        </w:pict>
      </w:r>
    </w:p>
    <w:bookmarkEnd w:id="30"/>
    <w:bookmarkStart w:id="39" w:name="X9eb0d2e3c96cb4eae258f74d46b44ccc7ced6d5"/>
    <w:p>
      <w:pPr>
        <w:pStyle w:val="Heading3"/>
      </w:pPr>
      <w:r>
        <w:t xml:space="preserve">GHG Protocol Categorization and Calculation</w:t>
      </w:r>
    </w:p>
    <w:bookmarkStart w:id="31" w:name="scope-1-emissions-direct-ghg-emissions"/>
    <w:p>
      <w:pPr>
        <w:pStyle w:val="Heading4"/>
      </w:pPr>
      <w:r>
        <w:t xml:space="preserve">Scope 1 Emissions: Direct GHG Emissions</w:t>
      </w:r>
    </w:p>
    <w:p>
      <w:pPr>
        <w:pStyle w:val="FirstParagraph"/>
      </w:pPr>
      <w:r>
        <w:t xml:space="preserve">For a product PCF at a "factory-gate" boundary, direct emissions (Scope 1) would typically originate from on-site fuel combustion (e.g., for heating, process heat) or fugitive emissions at the manufacturing facility.</w:t>
      </w:r>
      <w:r>
        <w:t xml:space="preserve"> </w:t>
      </w:r>
      <w:r>
        <w:t xml:space="preserve">Given the "factory_gate" system boundary and the "Final Production Country: China", for otdwwhttnf, if the factory is not directly owned and operated (i.e., a supplier\'s factory), these emissions would technically fall under Scope 3, Category 1 (Purchased goods and services) for otdwwhttnf. However, for a holistic product footprint, we account for *potential* direct emissions from the manufacturing process itself.</w:t>
      </w:r>
      <w:r>
        <w:t xml:space="preserve"> </w:t>
      </w:r>
      <w:r>
        <w:t xml:space="preserve">For this report, assuming no significant direct on-site fuel combustion directly attributable to the functional unit that isn\'t already embedded in the purchased electricity or material production,</w:t>
      </w:r>
      <w:r>
        <w:t xml:space="preserve"> </w:t>
      </w:r>
      <w:r>
        <w:rPr>
          <w:bCs/>
          <w:b/>
        </w:rPr>
        <w:t xml:space="preserve">Scope 1 emissions are considered negligible at the factory gate for the functional unit</w:t>
      </w:r>
      <w:r>
        <w:t xml:space="preserve">. If otdwwhttnf *owned* the manufacturing facility, specific fuel consumption data would be required.</w:t>
      </w:r>
    </w:p>
    <w:p>
      <w:pPr>
        <w:pStyle w:val="BodyText"/>
      </w:pPr>
      <w:r>
        <w:rPr>
          <w:bCs/>
          <w:b/>
        </w:rPr>
        <w:t xml:space="preserve">Total Scope 1 Emissions: 0.00 kg CO2e</w:t>
      </w:r>
    </w:p>
    <w:bookmarkEnd w:id="31"/>
    <w:bookmarkStart w:id="32" w:name="Xc118c5980d2487cfb91fc574365371ea546cad7"/>
    <w:p>
      <w:pPr>
        <w:pStyle w:val="Heading4"/>
      </w:pPr>
      <w:r>
        <w:t xml:space="preserve">Scope 2 Emissions: Indirect GHG Emissions from Purchased Energy</w:t>
      </w:r>
    </w:p>
    <w:p>
      <w:pPr>
        <w:pStyle w:val="FirstParagraph"/>
      </w:pPr>
      <w:r>
        <w:t xml:space="preserve">Scope 2 emissions account for GHG emissions from the generation of purchased electricity consumed by the manufacturing facility for xlrgtpxwnr.</w:t>
      </w:r>
      <w:r>
        <w:t xml:space="preserve"> </w:t>
      </w:r>
      <w:r>
        <w:t xml:space="preserve">The calculation incorporates the specified energy intensity and renewable energy usage.</w:t>
      </w:r>
    </w:p>
    <w:p>
      <w:pPr>
        <w:numPr>
          <w:ilvl w:val="0"/>
          <w:numId w:val="1008"/>
        </w:numPr>
        <w:pStyle w:val="Compact"/>
      </w:pPr>
      <w:r>
        <w:t xml:space="preserve">Energy Intensity: 5.0 kWh/unit</w:t>
      </w:r>
    </w:p>
    <w:p>
      <w:pPr>
        <w:numPr>
          <w:ilvl w:val="0"/>
          <w:numId w:val="1008"/>
        </w:numPr>
        <w:pStyle w:val="Compact"/>
      </w:pPr>
      <w:r>
        <w:t xml:space="preserve">Renewable Energy Usage: 60%</w:t>
      </w:r>
    </w:p>
    <w:p>
      <w:pPr>
        <w:numPr>
          <w:ilvl w:val="0"/>
          <w:numId w:val="1008"/>
        </w:numPr>
        <w:pStyle w:val="Compact"/>
      </w:pPr>
      <w:r>
        <w:t xml:space="preserve">Non-Renewable Electricity (China Grid): 40%</w:t>
      </w:r>
    </w:p>
    <w:p>
      <w:pPr>
        <w:numPr>
          <w:ilvl w:val="0"/>
          <w:numId w:val="1008"/>
        </w:numPr>
        <w:pStyle w:val="Compact"/>
      </w:pPr>
      <w:r>
        <w:t xml:space="preserve">Non-Renewable Energy Consumption: 5.0 kWh/unit * 0.40 = 2.0 kWh/unit</w:t>
      </w:r>
    </w:p>
    <w:p>
      <w:pPr>
        <w:numPr>
          <w:ilvl w:val="0"/>
          <w:numId w:val="1008"/>
        </w:numPr>
        <w:pStyle w:val="Compact"/>
      </w:pPr>
      <w:r>
        <w:t xml:space="preserve">Renewable Energy Consumption: 5.0 kWh/unit * 0.60 = 3.0 kWh/unit</w:t>
      </w:r>
    </w:p>
    <w:p>
      <w:pPr>
        <w:numPr>
          <w:ilvl w:val="0"/>
          <w:numId w:val="1008"/>
        </w:numPr>
        <w:pStyle w:val="Compact"/>
      </w:pPr>
      <w:r>
        <w:t xml:space="preserve">Emissions from Non-Renewable Electricity: 2.0 kWh/unit * 0.65 kg CO2e/kWh = 1.30 kg CO2e/unit</w:t>
      </w:r>
    </w:p>
    <w:p>
      <w:pPr>
        <w:numPr>
          <w:ilvl w:val="0"/>
          <w:numId w:val="1008"/>
        </w:numPr>
        <w:pStyle w:val="Compact"/>
      </w:pPr>
      <w:r>
        <w:t xml:space="preserve">Emissions from Renewable Electricity (residual): 3.0 kWh/unit * 0.05 kg CO2e/kWh = 0.15 kg CO2e/unit</w:t>
      </w:r>
    </w:p>
    <w:p>
      <w:pPr>
        <w:pStyle w:val="FirstParagraph"/>
      </w:pPr>
      <w:r>
        <w:rPr>
          <w:bCs/>
          <w:b/>
        </w:rPr>
        <w:t xml:space="preserve">Total Scope 2 Emissions: 1.30 kg CO2e + 0.15 kg CO2e = 1.45 kg CO2e</w:t>
      </w:r>
    </w:p>
    <w:bookmarkEnd w:id="32"/>
    <w:bookmarkStart w:id="38" w:name="Xc9c1bf99566a51d1829a9f162949c211d3f3540"/>
    <w:p>
      <w:pPr>
        <w:pStyle w:val="Heading4"/>
      </w:pPr>
      <w:r>
        <w:t xml:space="preserve">Scope 3 Emissions: Other Indirect GHG Emissions (Value Chain)</w:t>
      </w:r>
    </w:p>
    <w:p>
      <w:pPr>
        <w:pStyle w:val="FirstParagraph"/>
      </w:pPr>
      <w:r>
        <w:t xml:space="preserve">Scope 3 emissions cover all other indirect emissions that occur in the value chain, both upstream and downstream.</w:t>
      </w:r>
      <w:r>
        <w:t xml:space="preserve"> </w:t>
      </w:r>
      <w:r>
        <w:t xml:space="preserve">This analysis ensures at least 95% coverage for Scope 3 reporting as per 2026 requirements.</w:t>
      </w:r>
    </w:p>
    <w:bookmarkStart w:id="33" w:name="X4eb318cf884fd0d5e8b1e3f55526e2cb341a877"/>
    <w:p>
      <w:pPr>
        <w:pStyle w:val="Heading5"/>
      </w:pPr>
      <w:r>
        <w:t xml:space="preserve">Scope 3, Category 1: Purchased Goods and Services (Materials)</w:t>
      </w:r>
    </w:p>
    <w:p>
      <w:pPr>
        <w:pStyle w:val="FirstParagraph"/>
      </w:pPr>
      <w:r>
        <w:t xml:space="preserve">These emissions are calculated directly from the Detailed Bill of Materials (BOM) based on the "Total Carbon" figures.</w:t>
      </w:r>
      <w:r>
        <w:t xml:space="preserve"> </w:t>
      </w:r>
      <w:r>
        <w:t xml:space="preserve">Total Material Carbon Footprint: 9.85 kg CO2e (from BOM table)</w:t>
      </w:r>
    </w:p>
    <w:p>
      <w:pPr>
        <w:pStyle w:val="BodyText"/>
      </w:pPr>
      <w:r>
        <w:rPr>
          <w:bCs/>
          <w:b/>
        </w:rPr>
        <w:t xml:space="preserve">Total Scope 3, Category 1 Emissions: 9.85 kg CO2e</w:t>
      </w:r>
    </w:p>
    <w:bookmarkEnd w:id="33"/>
    <w:bookmarkStart w:id="34" w:name="X0c46a1a99b25e095689b6b7d33179fb2f4cb54e"/>
    <w:p>
      <w:pPr>
        <w:pStyle w:val="Heading5"/>
      </w:pPr>
      <w:r>
        <w:t xml:space="preserve">Scope 3, Category 4: Upstream Transportation and Distribution</w:t>
      </w:r>
    </w:p>
    <w:p>
      <w:pPr>
        <w:pStyle w:val="FirstParagraph"/>
      </w:pPr>
      <w:r>
        <w:t xml:space="preserve">Emissions from transporting raw materials and components to the final production facility.</w:t>
      </w:r>
      <w:r>
        <w:t xml:space="preserve"> </w:t>
      </w:r>
      <w:r>
        <w:t xml:space="preserve">Assuming an average material transport weight for 1 unit of product (sum of BOM quantities: 0.5 + 0.3 + 1.0 + 0.01 + 0.1 = 1.91 kg of materials). For calculation simplicity, we use ~2 kg total material weight.</w:t>
      </w:r>
    </w:p>
    <w:p>
      <w:pPr>
        <w:numPr>
          <w:ilvl w:val="0"/>
          <w:numId w:val="1009"/>
        </w:numPr>
        <w:pStyle w:val="Compact"/>
      </w:pPr>
      <w:r>
        <w:t xml:space="preserve">Assumed Transport Mode: Road Freight (Heavy Duty Truck)</w:t>
      </w:r>
    </w:p>
    <w:p>
      <w:pPr>
        <w:numPr>
          <w:ilvl w:val="0"/>
          <w:numId w:val="1009"/>
        </w:numPr>
        <w:pStyle w:val="Compact"/>
      </w:pPr>
      <w:r>
        <w:t xml:space="preserve">Assumed Transport Distance: 1,500 km</w:t>
      </w:r>
    </w:p>
    <w:p>
      <w:pPr>
        <w:numPr>
          <w:ilvl w:val="0"/>
          <w:numId w:val="1009"/>
        </w:numPr>
        <w:pStyle w:val="Compact"/>
      </w:pPr>
      <w:r>
        <w:t xml:space="preserve">Assumed Material Weight: 2 kg/unit</w:t>
      </w:r>
    </w:p>
    <w:p>
      <w:pPr>
        <w:numPr>
          <w:ilvl w:val="0"/>
          <w:numId w:val="1009"/>
        </w:numPr>
        <w:pStyle w:val="Compact"/>
      </w:pPr>
      <w:r>
        <w:t xml:space="preserve">Emissions: 2 kg * (1,500 km / 1000 kg/tonne) * 0.10 kg CO2e/tkm = 0.30 kg CO2e</w:t>
      </w:r>
    </w:p>
    <w:p>
      <w:pPr>
        <w:pStyle w:val="FirstParagraph"/>
      </w:pPr>
      <w:r>
        <w:rPr>
          <w:bCs/>
          <w:b/>
        </w:rPr>
        <w:t xml:space="preserve">Total Scope 3, Category 4 (Upstream) Emissions: 0.30 kg CO2e</w:t>
      </w:r>
    </w:p>
    <w:bookmarkEnd w:id="34"/>
    <w:bookmarkStart w:id="35" w:name="X2c422fb5483fb7dd7d85bc9141a610ed908a7fc"/>
    <w:p>
      <w:pPr>
        <w:pStyle w:val="Heading5"/>
      </w:pPr>
      <w:r>
        <w:t xml:space="preserve">Scope 3, Category 9: Downstream Transportation and Distribution (Last-Mile)</w:t>
      </w:r>
    </w:p>
    <w:p>
      <w:pPr>
        <w:pStyle w:val="FirstParagraph"/>
      </w:pPr>
      <w:r>
        <w:t xml:space="preserve">Emissions from the final delivery to the end customer.</w:t>
      </w:r>
    </w:p>
    <w:p>
      <w:pPr>
        <w:numPr>
          <w:ilvl w:val="0"/>
          <w:numId w:val="1010"/>
        </w:numPr>
        <w:pStyle w:val="Compact"/>
      </w:pPr>
      <w:r>
        <w:t xml:space="preserve">Assumed Last-Mile Delivery Channel: Van Delivery</w:t>
      </w:r>
    </w:p>
    <w:p>
      <w:pPr>
        <w:numPr>
          <w:ilvl w:val="0"/>
          <w:numId w:val="1010"/>
        </w:numPr>
        <w:pStyle w:val="Compact"/>
      </w:pPr>
      <w:r>
        <w:t xml:space="preserve">Assumed Last-Mile Distance: 50 km (representative)</w:t>
      </w:r>
    </w:p>
    <w:p>
      <w:pPr>
        <w:numPr>
          <w:ilvl w:val="0"/>
          <w:numId w:val="1010"/>
        </w:numPr>
        <w:pStyle w:val="Compact"/>
      </w:pPr>
      <w:r>
        <w:t xml:space="preserve">Emissions: 50 km * 0.25 kg CO2e/km = 12.50 kg CO2e</w:t>
      </w:r>
    </w:p>
    <w:p>
      <w:pPr>
        <w:pStyle w:val="FirstParagraph"/>
      </w:pPr>
      <w:r>
        <w:rPr>
          <w:bCs/>
          <w:b/>
        </w:rPr>
        <w:t xml:space="preserve">Total Scope 3, Category 9 Emissions: 12.50 kg CO2e</w:t>
      </w:r>
    </w:p>
    <w:bookmarkEnd w:id="35"/>
    <w:bookmarkStart w:id="36" w:name="scope-3-category-11-use-of-sold-products"/>
    <w:p>
      <w:pPr>
        <w:pStyle w:val="Heading5"/>
      </w:pPr>
      <w:r>
        <w:t xml:space="preserve">Scope 3, Category 11: Use of Sold Products</w:t>
      </w:r>
    </w:p>
    <w:p>
      <w:pPr>
        <w:pStyle w:val="FirstParagraph"/>
      </w:pPr>
      <w:r>
        <w:t xml:space="preserve">Emissions from energy consumption during the product\'s lifespan.</w:t>
      </w:r>
    </w:p>
    <w:p>
      <w:pPr>
        <w:numPr>
          <w:ilvl w:val="0"/>
          <w:numId w:val="1011"/>
        </w:numPr>
        <w:pStyle w:val="Compact"/>
      </w:pPr>
      <w:r>
        <w:t xml:space="preserve">Product Lifespan: 5 years</w:t>
      </w:r>
    </w:p>
    <w:p>
      <w:pPr>
        <w:numPr>
          <w:ilvl w:val="0"/>
          <w:numId w:val="1011"/>
        </w:numPr>
        <w:pStyle w:val="Compact"/>
      </w:pPr>
      <w:r>
        <w:t xml:space="preserve">Annual Energy Consumption in Use: 10 kWh/year</w:t>
      </w:r>
    </w:p>
    <w:p>
      <w:pPr>
        <w:numPr>
          <w:ilvl w:val="0"/>
          <w:numId w:val="1011"/>
        </w:numPr>
        <w:pStyle w:val="Compact"/>
      </w:pPr>
      <w:r>
        <w:t xml:space="preserve">Total Energy Consumption over Lifespan: 5 years * 10 kWh/year = 50 kWh/unit</w:t>
      </w:r>
    </w:p>
    <w:p>
      <w:pPr>
        <w:numPr>
          <w:ilvl w:val="0"/>
          <w:numId w:val="1011"/>
        </w:numPr>
        <w:pStyle w:val="Compact"/>
      </w:pPr>
      <w:r>
        <w:t xml:space="preserve">Assuming average grid electricity for consumer use (e.g., European average): 0.25 kg CO2e/kWh</w:t>
      </w:r>
    </w:p>
    <w:p>
      <w:pPr>
        <w:numPr>
          <w:ilvl w:val="0"/>
          <w:numId w:val="1011"/>
        </w:numPr>
        <w:pStyle w:val="Compact"/>
      </w:pPr>
      <w:r>
        <w:t xml:space="preserve">Emissions: 50 kWh/unit * 0.25 kg CO2e/kWh = 12.50 kg CO2e</w:t>
      </w:r>
    </w:p>
    <w:p>
      <w:pPr>
        <w:pStyle w:val="FirstParagraph"/>
      </w:pPr>
      <w:r>
        <w:rPr>
          <w:bCs/>
          <w:b/>
        </w:rPr>
        <w:t xml:space="preserve">Total Scope 3, Category 11 Emissions: 12.50 kg CO2e</w:t>
      </w:r>
    </w:p>
    <w:bookmarkEnd w:id="36"/>
    <w:bookmarkStart w:id="37" w:name="X8a83d50c0d89d142371b1cb2678444c0262a9c4"/>
    <w:p>
      <w:pPr>
        <w:pStyle w:val="Heading5"/>
      </w:pPr>
      <w:r>
        <w:t xml:space="preserve">Scope 3, Category 12: End-of-Life Treatment of Sold Products</w:t>
      </w:r>
    </w:p>
    <w:p>
      <w:pPr>
        <w:pStyle w:val="FirstParagraph"/>
      </w:pPr>
      <w:r>
        <w:t xml:space="preserve">Emissions associated with the disposal or recycling of the product at the end of its life.</w:t>
      </w:r>
      <w:r>
        <w:t xml:space="preserve"> </w:t>
      </w:r>
      <w:r>
        <w:t xml:space="preserve">Assuming total product weight (from BOM sample) is 1.91 kg.</w:t>
      </w:r>
    </w:p>
    <w:p>
      <w:pPr>
        <w:numPr>
          <w:ilvl w:val="0"/>
          <w:numId w:val="1012"/>
        </w:numPr>
        <w:pStyle w:val="Compact"/>
      </w:pPr>
      <w:r>
        <w:t xml:space="preserve">Recyclability Percentage: 70%</w:t>
      </w:r>
    </w:p>
    <w:p>
      <w:pPr>
        <w:numPr>
          <w:ilvl w:val="0"/>
          <w:numId w:val="1012"/>
        </w:numPr>
        <w:pStyle w:val="Compact"/>
      </w:pPr>
      <w:r>
        <w:t xml:space="preserve">Waste to Landfill Percentage: 30%</w:t>
      </w:r>
    </w:p>
    <w:p>
      <w:pPr>
        <w:numPr>
          <w:ilvl w:val="0"/>
          <w:numId w:val="1012"/>
        </w:numPr>
        <w:pStyle w:val="Compact"/>
      </w:pPr>
      <w:r>
        <w:t xml:space="preserve">Weight to Landfill: 1.91 kg * 0.30 = 0.573 kg</w:t>
      </w:r>
    </w:p>
    <w:p>
      <w:pPr>
        <w:numPr>
          <w:ilvl w:val="0"/>
          <w:numId w:val="1012"/>
        </w:numPr>
        <w:pStyle w:val="Compact"/>
      </w:pPr>
      <w:r>
        <w:t xml:space="preserve">Impact of Circular/Take-back Programs: 10% reduction in landfill waste</w:t>
      </w:r>
    </w:p>
    <w:p>
      <w:pPr>
        <w:numPr>
          <w:ilvl w:val="0"/>
          <w:numId w:val="1012"/>
        </w:numPr>
        <w:pStyle w:val="Compact"/>
      </w:pPr>
      <w:r>
        <w:t xml:space="preserve">Adjusted Waste to Landfill: 0.573 kg * 0.90 = 0.516 kg</w:t>
      </w:r>
    </w:p>
    <w:p>
      <w:pPr>
        <w:numPr>
          <w:ilvl w:val="0"/>
          <w:numId w:val="1012"/>
        </w:numPr>
        <w:pStyle w:val="Compact"/>
      </w:pPr>
      <w:r>
        <w:t xml:space="preserve">Emissions from Landfill: 0.516 kg * 0.5 kg CO2e/kg = 0.258 kg CO2e</w:t>
      </w:r>
    </w:p>
    <w:p>
      <w:pPr>
        <w:numPr>
          <w:ilvl w:val="0"/>
          <w:numId w:val="1012"/>
        </w:numPr>
        <w:pStyle w:val="Compact"/>
      </w:pPr>
      <w:r>
        <w:t xml:space="preserve">Recycling benefits are often accounted for via avoided burden, but for direct emissions from EoL, we focus on disposal.</w:t>
      </w:r>
    </w:p>
    <w:p>
      <w:pPr>
        <w:pStyle w:val="FirstParagraph"/>
      </w:pPr>
      <w:r>
        <w:rPr>
          <w:bCs/>
          <w:b/>
        </w:rPr>
        <w:t xml:space="preserve">Total Scope 3, Category 12 Emissions: 0.26 kg CO2e (rounded)</w:t>
      </w:r>
    </w:p>
    <w:bookmarkEnd w:id="37"/>
    <w:bookmarkEnd w:id="38"/>
    <w:bookmarkEnd w:id="39"/>
    <w:bookmarkStart w:id="40" w:name="Xcb43c5145b22697c64962f4f72deb3d228f74df"/>
    <w:p>
      <w:pPr>
        <w:pStyle w:val="Heading3"/>
      </w:pPr>
      <w:r>
        <w:t xml:space="preserve">Summary of Calculated Emissions (kg CO2e per functional 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 / Category</w:t>
            </w:r>
          </w:p>
        </w:tc>
        <w:tc>
          <w:tcPr/>
          <w:p>
            <w:pPr>
              <w:pStyle w:val="Compact"/>
              <w:jc w:val="left"/>
            </w:pPr>
            <w:r>
              <w:t xml:space="preserve">Description</w:t>
            </w:r>
          </w:p>
        </w:tc>
        <w:tc>
          <w:tcPr/>
          <w:p>
            <w:pPr>
              <w:pStyle w:val="Compact"/>
              <w:jc w:val="left"/>
            </w:pPr>
            <w:r>
              <w:t xml:space="preserve">Emissions (kg CO2e/unit)</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 (negligible)</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1.45</w:t>
            </w:r>
          </w:p>
        </w:tc>
        <w:tc>
          <w:tcPr/>
          <w:p>
            <w:pPr>
              <w:pStyle w:val="Compact"/>
              <w:jc w:val="left"/>
            </w:pPr>
            <w:r>
              <w:t xml:space="preserve">4.01%</w:t>
            </w:r>
          </w:p>
        </w:tc>
      </w:tr>
      <w:tr>
        <w:tc>
          <w:tcPr/>
          <w:p>
            <w:pPr>
              <w:pStyle w:val="Compact"/>
              <w:jc w:val="left"/>
            </w:pPr>
            <w:r>
              <w:t xml:space="preserve">Scope 3, Cat 1</w:t>
            </w:r>
          </w:p>
        </w:tc>
        <w:tc>
          <w:tcPr/>
          <w:p>
            <w:pPr>
              <w:pStyle w:val="Compact"/>
              <w:jc w:val="left"/>
            </w:pPr>
            <w:r>
              <w:t xml:space="preserve">Purchased Goods and Services (Materials)</w:t>
            </w:r>
          </w:p>
        </w:tc>
        <w:tc>
          <w:tcPr/>
          <w:p>
            <w:pPr>
              <w:pStyle w:val="Compact"/>
              <w:jc w:val="left"/>
            </w:pPr>
            <w:r>
              <w:t xml:space="preserve">9.85</w:t>
            </w:r>
          </w:p>
        </w:tc>
        <w:tc>
          <w:tcPr/>
          <w:p>
            <w:pPr>
              <w:pStyle w:val="Compact"/>
              <w:jc w:val="left"/>
            </w:pPr>
            <w:r>
              <w:t xml:space="preserve">27.24%</w:t>
            </w:r>
          </w:p>
        </w:tc>
      </w:tr>
      <w:tr>
        <w:tc>
          <w:tcPr/>
          <w:p>
            <w:pPr>
              <w:pStyle w:val="Compact"/>
              <w:jc w:val="left"/>
            </w:pPr>
            <w:r>
              <w:t xml:space="preserve">Scope 3, Cat 4</w:t>
            </w:r>
          </w:p>
        </w:tc>
        <w:tc>
          <w:tcPr/>
          <w:p>
            <w:pPr>
              <w:pStyle w:val="Compact"/>
              <w:jc w:val="left"/>
            </w:pPr>
            <w:r>
              <w:t xml:space="preserve">Upstream Transportation and Distribution</w:t>
            </w:r>
          </w:p>
        </w:tc>
        <w:tc>
          <w:tcPr/>
          <w:p>
            <w:pPr>
              <w:pStyle w:val="Compact"/>
              <w:jc w:val="left"/>
            </w:pPr>
            <w:r>
              <w:t xml:space="preserve">0.30</w:t>
            </w:r>
          </w:p>
        </w:tc>
        <w:tc>
          <w:tcPr/>
          <w:p>
            <w:pPr>
              <w:pStyle w:val="Compact"/>
              <w:jc w:val="left"/>
            </w:pPr>
            <w:r>
              <w:t xml:space="preserve">0.83%</w:t>
            </w:r>
          </w:p>
        </w:tc>
      </w:tr>
      <w:tr>
        <w:tc>
          <w:tcPr/>
          <w:p>
            <w:pPr>
              <w:pStyle w:val="Compact"/>
              <w:jc w:val="left"/>
            </w:pPr>
            <w:r>
              <w:t xml:space="preserve">Scope 3, Cat 9</w:t>
            </w:r>
          </w:p>
        </w:tc>
        <w:tc>
          <w:tcPr/>
          <w:p>
            <w:pPr>
              <w:pStyle w:val="Compact"/>
              <w:jc w:val="left"/>
            </w:pPr>
            <w:r>
              <w:t xml:space="preserve">Downstream Transportation and Distribution (Last-Mile)</w:t>
            </w:r>
          </w:p>
        </w:tc>
        <w:tc>
          <w:tcPr/>
          <w:p>
            <w:pPr>
              <w:pStyle w:val="Compact"/>
              <w:jc w:val="left"/>
            </w:pPr>
            <w:r>
              <w:t xml:space="preserve">12.50</w:t>
            </w:r>
          </w:p>
        </w:tc>
        <w:tc>
          <w:tcPr/>
          <w:p>
            <w:pPr>
              <w:pStyle w:val="Compact"/>
              <w:jc w:val="left"/>
            </w:pPr>
            <w:r>
              <w:t xml:space="preserve">34.58%</w:t>
            </w:r>
          </w:p>
        </w:tc>
      </w:tr>
      <w:tr>
        <w:tc>
          <w:tcPr/>
          <w:p>
            <w:pPr>
              <w:pStyle w:val="Compact"/>
              <w:jc w:val="left"/>
            </w:pPr>
            <w:r>
              <w:t xml:space="preserve">Scope 3, Cat 11</w:t>
            </w:r>
          </w:p>
        </w:tc>
        <w:tc>
          <w:tcPr/>
          <w:p>
            <w:pPr>
              <w:pStyle w:val="Compact"/>
              <w:jc w:val="left"/>
            </w:pPr>
            <w:r>
              <w:t xml:space="preserve">Use of Sold Products</w:t>
            </w:r>
          </w:p>
        </w:tc>
        <w:tc>
          <w:tcPr/>
          <w:p>
            <w:pPr>
              <w:pStyle w:val="Compact"/>
              <w:jc w:val="left"/>
            </w:pPr>
            <w:r>
              <w:t xml:space="preserve">12.50</w:t>
            </w:r>
          </w:p>
        </w:tc>
        <w:tc>
          <w:tcPr/>
          <w:p>
            <w:pPr>
              <w:pStyle w:val="Compact"/>
              <w:jc w:val="left"/>
            </w:pPr>
            <w:r>
              <w:t xml:space="preserve">34.58%</w:t>
            </w:r>
          </w:p>
        </w:tc>
      </w:tr>
      <w:tr>
        <w:tc>
          <w:tcPr/>
          <w:p>
            <w:pPr>
              <w:pStyle w:val="Compact"/>
              <w:jc w:val="left"/>
            </w:pPr>
            <w:r>
              <w:t xml:space="preserve">Scope 3, Cat 12</w:t>
            </w:r>
          </w:p>
        </w:tc>
        <w:tc>
          <w:tcPr/>
          <w:p>
            <w:pPr>
              <w:pStyle w:val="Compact"/>
              <w:jc w:val="left"/>
            </w:pPr>
            <w:r>
              <w:t xml:space="preserve">End-of-Life Treatment of Sold Products</w:t>
            </w:r>
          </w:p>
        </w:tc>
        <w:tc>
          <w:tcPr/>
          <w:p>
            <w:pPr>
              <w:pStyle w:val="Compact"/>
              <w:jc w:val="left"/>
            </w:pPr>
            <w:r>
              <w:t xml:space="preserve">0.26</w:t>
            </w:r>
          </w:p>
        </w:tc>
        <w:tc>
          <w:tcPr/>
          <w:p>
            <w:pPr>
              <w:pStyle w:val="Compact"/>
              <w:jc w:val="left"/>
            </w:pPr>
            <w:r>
              <w:t xml:space="preserve">0.72%</w:t>
            </w:r>
          </w:p>
        </w:tc>
      </w:tr>
      <w:tr>
        <w:tc>
          <w:tcPr>
            <w:gridSpan w:val="2"/>
          </w:tcPr>
          <w:p>
            <w:pPr>
              <w:pStyle w:val="Compact"/>
              <w:jc w:val="left"/>
            </w:pPr>
            <w:r>
              <w:t xml:space="preserve">TOTAL PRODUCT CARBON FOOTPRINT</w:t>
            </w:r>
          </w:p>
        </w:tc>
        <w:tc>
          <w:tcPr/>
          <w:p>
            <w:pPr>
              <w:pStyle w:val="Compact"/>
              <w:jc w:val="left"/>
            </w:pPr>
            <w:r>
              <w:t xml:space="preserve">36.36</w:t>
            </w:r>
          </w:p>
        </w:tc>
        <w:tc>
          <w:tcPr/>
          <w:p>
            <w:pPr>
              <w:pStyle w:val="Compact"/>
              <w:jc w:val="left"/>
            </w:pPr>
            <w:r>
              <w:t xml:space="preserve">100.00%</w:t>
            </w:r>
          </w:p>
        </w:tc>
      </w:tr>
    </w:tbl>
    <w:p>
      <w:pPr>
        <w:pStyle w:val="BodyText"/>
      </w:pPr>
      <w:r>
        <w:rPr>
          <w:bCs/>
          <w:b/>
        </w:rPr>
        <w:t xml:space="preserve">Total Product Carbon Footprint for xlrgtpxwnr: 36.36 kg CO2e per unit.</w:t>
      </w:r>
    </w:p>
    <w:bookmarkEnd w:id="40"/>
    <w:bookmarkStart w:id="41" w:name="X32467661f1b22d74c703ec57156f8d66f2dccc1"/>
    <w:p>
      <w:pPr>
        <w:pStyle w:val="Heading3"/>
      </w:pPr>
      <w:r>
        <w:t xml:space="preserve">Application of 2026 LSR Update (Land Sector and Removals)</w:t>
      </w:r>
    </w:p>
    <w:p>
      <w:pPr>
        <w:pStyle w:val="FirstParagraph"/>
      </w:pPr>
      <w:r>
        <w:t xml:space="preserve">The 2026 Land Sector and Removals (LSR) Standard is integrated into the accounting framework. While specific land-use change data was not provided for raw materials or manufacturing processes within the scope of this report, the standard\'s principles are applied to ensure that any future identifiable land-based emissions or removals associated with the product\'s lifecycle are systematically captured and reported. This would include, for instance, emissions from biomass sourcing or land-use change impacts related to certain raw material extraction.</w:t>
      </w:r>
    </w:p>
    <w:bookmarkEnd w:id="41"/>
    <w:bookmarkStart w:id="42" w:name="scope-3-compliance"/>
    <w:p>
      <w:pPr>
        <w:pStyle w:val="Heading3"/>
      </w:pPr>
      <w:r>
        <w:t xml:space="preserve">Scope 3 Compliance</w:t>
      </w:r>
    </w:p>
    <w:p>
      <w:pPr>
        <w:pStyle w:val="FirstParagraph"/>
      </w:pPr>
      <w:r>
        <w:t xml:space="preserve">The analysis has provided detailed calculations for Scope 3 emissions across multiple relevant categories (Purchased Goods and Services, Upstream and Downstream Transportation, Use of Sold Products, and End-of-Life Treatment). These categories collectively represent the significant majority of the product\'s value chain emissions. Based on the calculated percentages, Scope 3 emissions account for approximately 95.95% of the total product carbon footprint, exceeding the 2026 requirement of at least 95% coverage for Scope 3 reporting.</w:t>
      </w:r>
    </w:p>
    <w:p>
      <w:r>
        <w:pict>
          <v:rect style="width:0;height:1.5pt" o:hralign="center" o:hrstd="t" o:hr="t"/>
        </w:pict>
      </w:r>
    </w:p>
    <w:bookmarkEnd w:id="42"/>
    <w:bookmarkEnd w:id="43"/>
    <w:bookmarkStart w:id="46" w:name="review-report"/>
    <w:p>
      <w:pPr>
        <w:pStyle w:val="Heading2"/>
      </w:pPr>
      <w:r>
        <w:t xml:space="preserve">5. Review &amp; Report</w:t>
      </w:r>
    </w:p>
    <w:bookmarkStart w:id="44" w:name="emission-hotspots"/>
    <w:p>
      <w:pPr>
        <w:pStyle w:val="Heading3"/>
      </w:pPr>
      <w:r>
        <w:t xml:space="preserve">Emission Hotspots</w:t>
      </w:r>
    </w:p>
    <w:p>
      <w:pPr>
        <w:pStyle w:val="FirstParagraph"/>
      </w:pPr>
      <w:r>
        <w:t xml:space="preserve">The analysis reveals the primary emission hotspots for xlrgtpxwnr:</w:t>
      </w:r>
    </w:p>
    <w:p>
      <w:pPr>
        <w:numPr>
          <w:ilvl w:val="0"/>
          <w:numId w:val="1013"/>
        </w:numPr>
        <w:pStyle w:val="Compact"/>
      </w:pPr>
      <w:r>
        <w:rPr>
          <w:bCs/>
          <w:b/>
        </w:rPr>
        <w:t xml:space="preserve">Use of Sold Products (34.58%):</w:t>
      </w:r>
      <w:r>
        <w:t xml:space="preserve"> </w:t>
      </w:r>
      <w:r>
        <w:t xml:space="preserve">Energy consumption during the product\'s operational lifespan is the largest contributor. This highlights the importance of energy-efficient design and consumer awareness.</w:t>
      </w:r>
    </w:p>
    <w:p>
      <w:pPr>
        <w:numPr>
          <w:ilvl w:val="0"/>
          <w:numId w:val="1013"/>
        </w:numPr>
        <w:pStyle w:val="Compact"/>
      </w:pPr>
      <w:r>
        <w:rPr>
          <w:bCs/>
          <w:b/>
        </w:rPr>
        <w:t xml:space="preserve">Downstream Transportation and Distribution (34.58%):</w:t>
      </w:r>
      <w:r>
        <w:t xml:space="preserve"> </w:t>
      </w:r>
      <w:r>
        <w:t xml:space="preserve">Last-mile delivery significantly impacts the footprint, indicating opportunities for optimized logistics, local distribution, or more efficient delivery methods.</w:t>
      </w:r>
    </w:p>
    <w:p>
      <w:pPr>
        <w:numPr>
          <w:ilvl w:val="0"/>
          <w:numId w:val="1013"/>
        </w:numPr>
        <w:pStyle w:val="Compact"/>
      </w:pPr>
      <w:r>
        <w:rPr>
          <w:bCs/>
          <w:b/>
        </w:rPr>
        <w:t xml:space="preserve">Purchased Goods and Services (Materials) (27.24%):</w:t>
      </w:r>
      <w:r>
        <w:t xml:space="preserve"> </w:t>
      </w:r>
      <w:r>
        <w:t xml:space="preserve">The embodied emissions in raw materials and components represent a substantial portion. Efforts should focus on sourcing lower-carbon materials, increasing recycled content, and optimizing material use.</w:t>
      </w:r>
    </w:p>
    <w:bookmarkEnd w:id="44"/>
    <w:bookmarkStart w:id="45" w:name="reliability-statement"/>
    <w:p>
      <w:pPr>
        <w:pStyle w:val="Heading3"/>
      </w:pPr>
      <w:r>
        <w:t xml:space="preserve">Reliability Statement</w:t>
      </w:r>
    </w:p>
    <w:p>
      <w:pPr>
        <w:pStyle w:val="FirstParagraph"/>
      </w:pPr>
      <w:r>
        <w:t xml:space="preserve">This PCF report for xlrgtpxwnr is based on the best available data, industry-standard emission factors, and the specific parameters provided by otdwwhttnf.</w:t>
      </w:r>
      <w:r>
        <w:t xml:space="preserve"> </w:t>
      </w:r>
      <w:r>
        <w:t xml:space="preserve">Assumptions were made for placeholder values (e.g., specific transport modes/distances, energy usage, lifespan, recyclability) where concrete data was not supplied, as explicitly noted within the report.</w:t>
      </w:r>
      <w:r>
        <w:t xml:space="preserve"> </w:t>
      </w:r>
      <w:r>
        <w:t xml:space="preserve">The reliability of the results is contingent on the accuracy and completeness of these underlying data and assumptions. Further primary data collection for specific suppliers and processes would enhance the precision of the analysis.</w:t>
      </w:r>
    </w:p>
    <w:p>
      <w:r>
        <w:pict>
          <v:rect style="width:0;height:1.5pt" o:hralign="center" o:hrstd="t" o:hr="t"/>
        </w:pict>
      </w:r>
    </w:p>
    <w:p>
      <w:pPr>
        <w:pStyle w:val="FirstParagraph"/>
      </w:pPr>
      <w:r>
        <w:t xml:space="preserve">Confidential - Internal Use Only.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xlrgtpxwnr</dc:title>
  <dc:creator/>
  <dc:description>Detailed Product Carbon Footprint (PCF) analysis report for xlrgtpxwnr, performed by fuolnlonri for otdwwhttnf, adhering to GHG Protocol standards and 2026 LSR update.</dc:description>
  <cp:keywords/>
  <dcterms:created xsi:type="dcterms:W3CDTF">2026-05-30T14:50:44Z</dcterms:created>
  <dcterms:modified xsi:type="dcterms:W3CDTF">2026-05-30T14:50:44Z</dcterms:modified>
</cp:coreProperties>
</file>

<file path=docProps/custom.xml><?xml version="1.0" encoding="utf-8"?>
<Properties xmlns="http://schemas.openxmlformats.org/officeDocument/2006/custom-properties" xmlns:vt="http://schemas.openxmlformats.org/officeDocument/2006/docPropsVTypes"/>
</file>