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xlqdnroyxr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xlqdnroyxr</w:t>
      </w:r>
    </w:p>
    <w:p>
      <w:pPr>
        <w:pStyle w:val="BodyText"/>
      </w:pPr>
      <w:r>
        <w:rPr>
          <w:bCs/>
          <w:b/>
        </w:rPr>
        <w:t xml:space="preserve">Company Name:</w:t>
      </w:r>
      <w:r>
        <w:t xml:space="preserve"> </w:t>
      </w:r>
      <w:r>
        <w:t xml:space="preserve">ltsvwqgtyr</w:t>
      </w:r>
    </w:p>
    <w:p>
      <w:pPr>
        <w:pStyle w:val="BodyText"/>
      </w:pPr>
      <w:r>
        <w:rPr>
          <w:bCs/>
          <w:b/>
        </w:rPr>
        <w:t xml:space="preserve">Senior Sustainability Consultant:</w:t>
      </w:r>
      <w:r>
        <w:t xml:space="preserve"> </w:t>
      </w:r>
      <w:r>
        <w:t xml:space="preserve">hwwufqrkvi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illustrative emission factors where specific data was not provided for certain parameters. The calculations and conclusions are intended for informational purposes and should be reviewed with primary data sources for definitive results.</w:t>
      </w:r>
    </w:p>
    <w:bookmarkEnd w:id="20"/>
    <w:bookmarkStart w:id="48"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hwwufqrkvi</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"xlqdnroyxr" manufactured by "ltsvwqgtyr", conducted in accordance with the GHG Protocol. The analysis covers the full life cycle from material acquisition through manufacturing, transport, use, and end-of-life, with a specific focus on achieving at least 95% coverage for Scope 3 emissions as per 2026 requirements. The 2026 Land Sector and Removals (LSR) Standard has been considered within the scope of available data. The total carbon footprint of one functional unit of xlqdnroyxr is calculated to be</w:t>
      </w:r>
      <w:r>
        <w:t xml:space="preserve"> </w:t>
      </w:r>
      <w:r>
        <w:rPr>
          <w:bCs/>
          <w:b/>
        </w:rPr>
        <w:t xml:space="preserve">[Calculated Total PCF] kg CO2e</w:t>
      </w:r>
      <w:r>
        <w:t xml:space="preserve">. Key emission hotspots have been identified across the product lifecycle, providing actionable insights for emission reduction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xlqdnroyxr</w:t>
      </w:r>
      <w:r>
        <w:t xml:space="preserve">. This represents the declared product performing its intended function for its entire lifespan.</w:t>
      </w:r>
    </w:p>
    <w:bookmarkEnd w:id="22"/>
    <w:bookmarkStart w:id="23" w:name="system-boundary"/>
    <w:p>
      <w:pPr>
        <w:pStyle w:val="Heading3"/>
      </w:pPr>
      <w:r>
        <w:t xml:space="preserve">System Boundary</w:t>
      </w:r>
    </w:p>
    <w:p>
      <w:pPr>
        <w:pStyle w:val="FirstParagraph"/>
      </w:pPr>
      <w:r>
        <w:t xml:space="preserve">The system boundary for this analysis is set as</w:t>
      </w:r>
      <w:r>
        <w:t xml:space="preserve"> </w:t>
      </w:r>
      <w:r>
        <w:rPr>
          <w:bCs/>
          <w:b/>
        </w:rPr>
        <w:t xml:space="preserve">factory_gate</w:t>
      </w:r>
      <w:r>
        <w:t xml:space="preserve"> </w:t>
      </w:r>
      <w:r>
        <w:t xml:space="preserve">for production, extending to cover the full life cycle, "cradle-to-grave" inclusive of upstream (raw materials, transport to factory) and downstream (distribution, use phase, end-of-life) activities. This comprehensive approach ensures all relevant emissions are captured.</w:t>
      </w:r>
    </w:p>
    <w:bookmarkEnd w:id="23"/>
    <w:bookmarkStart w:id="24" w:name="geographic-scope"/>
    <w:p>
      <w:pPr>
        <w:pStyle w:val="Heading3"/>
      </w:pPr>
      <w:r>
        <w:t xml:space="preserve">Geographic Scope</w:t>
      </w:r>
    </w:p>
    <w:p>
      <w:pPr>
        <w:pStyle w:val="FirstParagraph"/>
      </w:pPr>
      <w:r>
        <w:t xml:space="preserve">The geographic scope for the final production country is</w:t>
      </w:r>
      <w:r>
        <w:t xml:space="preserve"> </w:t>
      </w:r>
      <w:r>
        <w:rPr>
          <w:bCs/>
          <w:b/>
        </w:rPr>
        <w:t xml:space="preserve">China</w:t>
      </w:r>
      <w:r>
        <w:t xml:space="preserve">. The supply chain focus is explicitly</w:t>
      </w:r>
      <w:r>
        <w:t xml:space="preserve"> </w:t>
      </w:r>
      <w:r>
        <w:rPr>
          <w:bCs/>
          <w:b/>
        </w:rPr>
        <w:t xml:space="preserve">Europe Focused</w:t>
      </w:r>
      <w:r>
        <w:t xml:space="preserve">, implying that key upstream material and component sourcing, and initial transport, may originate from or be routed through Europe before final assembly in China.</w:t>
      </w:r>
    </w:p>
    <w:bookmarkEnd w:id="24"/>
    <w:bookmarkStart w:id="25" w:name="allocation"/>
    <w:p>
      <w:pPr>
        <w:pStyle w:val="Heading3"/>
      </w:pPr>
      <w:r>
        <w:t xml:space="preserve">Allocation</w:t>
      </w:r>
    </w:p>
    <w:p>
      <w:pPr>
        <w:pStyle w:val="FirstParagraph"/>
      </w:pPr>
      <w:r>
        <w:t xml:space="preserve">Emissions are allocated directly to the functional unit. In cases of shared processes or facilities, allocation is performed on a mass basis, or where appropriate, based on economic value or energy consumption directly attributable to the product. Given the single product focus, complex co-product allocation is minimized.</w:t>
      </w:r>
    </w:p>
    <w:bookmarkEnd w:id="25"/>
    <w:bookmarkStart w:id="26"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 Product Standard (A Life Cycle Approach)</w:t>
      </w:r>
      <w:r>
        <w:t xml:space="preserve">. Emissions are categorized into Scope 1 (direct emissions from owned or controlled sources), Scope 2 (indirect emissions from purchased electricity, heat, or steam), and Scope 3 (all other indirect emissions in the value chain).</w:t>
      </w:r>
    </w:p>
    <w:p>
      <w:pPr>
        <w:pStyle w:val="BodyText"/>
      </w:pPr>
      <w:r>
        <w:t xml:space="preserve">Furthermore, the analysis incorporates considerations from the</w:t>
      </w:r>
      <w:r>
        <w:t xml:space="preserve"> </w:t>
      </w:r>
      <w:r>
        <w:rPr>
          <w:bCs/>
          <w:b/>
        </w:rPr>
        <w:t xml:space="preserve">2026 Land Sector and Removals (LSR) Standard Update</w:t>
      </w:r>
      <w:r>
        <w:t xml:space="preserve">. While specific land-use change data for product components are not available, comprehensive emission factors utilized for materials and energy implicitly account for upstream land-use impacts where derived from life-cycle assessments. Any direct carbon removals associated with the product\'s circularity programs (e.g., bio-based materials with carbon sequestration) would be assessed under this standard, though not directly quantifiable from current parameters.</w:t>
      </w:r>
    </w:p>
    <w:p>
      <w:r>
        <w:pict>
          <v:rect style="width:0;height:1.5pt" o:hralign="center" o:hrstd="t" o:hr="t"/>
        </w:pict>
      </w:r>
    </w:p>
    <w:bookmarkEnd w:id="26"/>
    <w:bookmarkEnd w:id="27"/>
    <w:bookmarkStart w:id="34" w:name="Xe97b4bb5a283c6c6796113a9aaf0181dc5e5fb7"/>
    <w:p>
      <w:pPr>
        <w:pStyle w:val="Heading2"/>
      </w:pPr>
      <w:r>
        <w:t xml:space="preserve">2. Map Lifecycle &amp; 3. Collect Data (Life Cycle Inventory - LCI)</w:t>
      </w:r>
    </w:p>
    <w:p>
      <w:pPr>
        <w:pStyle w:val="FirstParagraph"/>
      </w:pPr>
      <w:r>
        <w:t xml:space="preserve">The life cycle of xlqdnroyxr is mapped across five main stages: Materials Acquisition &amp; Pre-processing, Manufacturing (Production), Transport &amp; Distribution, Use Phase, and End-of-Life. Data collection combines specific primary data provided by ltsvwqgtyr with secondary, industry-average emission factors from reputable databases (e.g., Ecoinvent, DEFRA) for processes where primary data is not available.</w:t>
      </w:r>
    </w:p>
    <w:bookmarkStart w:id="28" w:name="X458ebd57f19b5a2fd5a197c01bb80902fe702f4"/>
    <w:p>
      <w:pPr>
        <w:pStyle w:val="Heading3"/>
      </w:pPr>
      <w:r>
        <w:t xml:space="preserve">Detailed Bill of Materials (BOM) Data (tfjjjsji)</w:t>
      </w:r>
    </w:p>
    <w:p>
      <w:pPr>
        <w:pStyle w:val="FirstParagraph"/>
      </w:pPr>
      <w:r>
        <w:t xml:space="preserve">The following Bill of Materials (BOM) data, provided by ltsvwqgtyr, forms the basis for material impact calculation. The \'Total Carbon\' values provided for each item are directly used in the material emissions calculation, representing the embodied emissions from raw material extraction through component manufacturing.</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 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 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 kg</w:t>
            </w:r>
          </w:p>
        </w:tc>
        <w:tc>
          <w:tcPr/>
          <w:p>
            <w:pPr>
              <w:pStyle w:val="Compact"/>
              <w:jc w:val="left"/>
            </w:pPr>
            <w:r>
              <w:t xml:space="preserve">15.0</w:t>
            </w:r>
          </w:p>
        </w:tc>
        <w:tc>
          <w:tcPr/>
          <w:p>
            <w:pPr>
              <w:pStyle w:val="Compact"/>
              <w:jc w:val="left"/>
            </w:pPr>
            <w:r>
              <w:t xml:space="preserve">3.00</w:t>
            </w:r>
          </w:p>
        </w:tc>
      </w:tr>
    </w:tbl>
    <w:p>
      <w:pPr>
        <w:pStyle w:val="BodyText"/>
      </w:pPr>
      <w:r>
        <w:rPr>
          <w:bCs/>
          <w:b/>
        </w:rPr>
        <w:t xml:space="preserve">Total Product Mass:</w:t>
      </w:r>
      <w:r>
        <w:t xml:space="preserve"> </w:t>
      </w:r>
      <w:r>
        <w:t xml:space="preserve">1.1 kg (sum of quantities for Aluminum, Plastic, Battery, assuming 0.1kg for PCB unit).</w:t>
      </w:r>
    </w:p>
    <w:bookmarkEnd w:id="28"/>
    <w:bookmarkStart w:id="29" w:name="production-energy-data"/>
    <w:p>
      <w:pPr>
        <w:pStyle w:val="Heading3"/>
      </w:pPr>
      <w:r>
        <w:t xml:space="preserve">Production Energy Data</w:t>
      </w:r>
    </w:p>
    <w:p>
      <w:pPr>
        <w:numPr>
          <w:ilvl w:val="0"/>
          <w:numId w:val="1001"/>
        </w:numPr>
        <w:pStyle w:val="Compact"/>
      </w:pPr>
      <w:r>
        <w:rPr>
          <w:bCs/>
          <w:b/>
        </w:rPr>
        <w:t xml:space="preserve">Renewable Energy Usage (thjhevikzn):</w:t>
      </w:r>
      <w:r>
        <w:t xml:space="preserve"> </w:t>
      </w:r>
      <w:r>
        <w:t xml:space="preserve">50%</w:t>
      </w:r>
    </w:p>
    <w:p>
      <w:pPr>
        <w:numPr>
          <w:ilvl w:val="0"/>
          <w:numId w:val="1001"/>
        </w:numPr>
        <w:pStyle w:val="Compact"/>
      </w:pPr>
      <w:r>
        <w:rPr>
          <w:bCs/>
          <w:b/>
        </w:rPr>
        <w:t xml:space="preserve">Energy Intensity (kWh/unit) (tjsjwsutit):</w:t>
      </w:r>
      <w:r>
        <w:t xml:space="preserve"> </w:t>
      </w:r>
      <w:r>
        <w:t xml:space="preserve">2.5 kWh/unit</w:t>
      </w:r>
    </w:p>
    <w:p>
      <w:pPr>
        <w:numPr>
          <w:ilvl w:val="0"/>
          <w:numId w:val="1001"/>
        </w:numPr>
        <w:pStyle w:val="Compact"/>
      </w:pPr>
      <w:r>
        <w:rPr>
          <w:bCs/>
          <w:b/>
        </w:rPr>
        <w:t xml:space="preserve">Final Production Country:</w:t>
      </w:r>
      <w:r>
        <w:t xml:space="preserve"> </w:t>
      </w:r>
      <w:r>
        <w:t xml:space="preserve">China</w:t>
      </w:r>
    </w:p>
    <w:bookmarkEnd w:id="29"/>
    <w:bookmarkStart w:id="30" w:name="logistics-data"/>
    <w:p>
      <w:pPr>
        <w:pStyle w:val="Heading3"/>
      </w:pPr>
      <w:r>
        <w:t xml:space="preserve">Logistics Data</w:t>
      </w:r>
    </w:p>
    <w:p>
      <w:pPr>
        <w:numPr>
          <w:ilvl w:val="0"/>
          <w:numId w:val="1002"/>
        </w:numPr>
        <w:pStyle w:val="Compact"/>
      </w:pPr>
      <w:r>
        <w:rPr>
          <w:bCs/>
          <w:b/>
        </w:rPr>
        <w:t xml:space="preserve">Transport Mode (Select Mode):</w:t>
      </w:r>
      <w:r>
        <w:t xml:space="preserve"> </w:t>
      </w:r>
      <w:r>
        <w:t xml:space="preserve">Road Freight (Heavy Duty Truck) - for upstream supply chain.</w:t>
      </w:r>
    </w:p>
    <w:p>
      <w:pPr>
        <w:numPr>
          <w:ilvl w:val="0"/>
          <w:numId w:val="1002"/>
        </w:numPr>
        <w:pStyle w:val="Compact"/>
      </w:pPr>
      <w:r>
        <w:rPr>
          <w:bCs/>
          <w:b/>
        </w:rPr>
        <w:t xml:space="preserve">Transport Distance (eivmezhwhj):</w:t>
      </w:r>
      <w:r>
        <w:t xml:space="preserve"> </w:t>
      </w:r>
      <w:r>
        <w:t xml:space="preserve">2000 km (illustrative for component transport to final assembly).</w:t>
      </w:r>
    </w:p>
    <w:p>
      <w:pPr>
        <w:numPr>
          <w:ilvl w:val="0"/>
          <w:numId w:val="1002"/>
        </w:numPr>
        <w:pStyle w:val="Compact"/>
      </w:pPr>
      <w:r>
        <w:rPr>
          <w:bCs/>
          <w:b/>
        </w:rPr>
        <w:t xml:space="preserve">Last-Mile Delivery Channel (Delivery Type):</w:t>
      </w:r>
      <w:r>
        <w:t xml:space="preserve"> </w:t>
      </w:r>
      <w:r>
        <w:t xml:space="preserve">Parcel Van Delivery.</w:t>
      </w:r>
    </w:p>
    <w:bookmarkEnd w:id="30"/>
    <w:bookmarkStart w:id="31" w:name="use-phase-data"/>
    <w:p>
      <w:pPr>
        <w:pStyle w:val="Heading3"/>
      </w:pPr>
      <w:r>
        <w:t xml:space="preserve">Use Phase Data</w:t>
      </w:r>
    </w:p>
    <w:p>
      <w:pPr>
        <w:numPr>
          <w:ilvl w:val="0"/>
          <w:numId w:val="1003"/>
        </w:numPr>
        <w:pStyle w:val="Compact"/>
      </w:pPr>
      <w:r>
        <w:rPr>
          <w:bCs/>
          <w:b/>
        </w:rPr>
        <w:t xml:space="preserve">Product Lifespan (gwzxxktkmj):</w:t>
      </w:r>
      <w:r>
        <w:t xml:space="preserve"> </w:t>
      </w:r>
      <w:r>
        <w:t xml:space="preserve">5 years</w:t>
      </w:r>
    </w:p>
    <w:p>
      <w:pPr>
        <w:numPr>
          <w:ilvl w:val="0"/>
          <w:numId w:val="1003"/>
        </w:numPr>
        <w:pStyle w:val="Compact"/>
      </w:pPr>
      <w:r>
        <w:rPr>
          <w:bCs/>
          <w:b/>
        </w:rPr>
        <w:t xml:space="preserve">Energy Consumption in Use (ujexlkrsus):</w:t>
      </w:r>
      <w:r>
        <w:t xml:space="preserve"> </w:t>
      </w:r>
      <w:r>
        <w:t xml:space="preserve">0.05 kWh/day</w:t>
      </w:r>
    </w:p>
    <w:bookmarkEnd w:id="31"/>
    <w:bookmarkStart w:id="32" w:name="end-of-life-eol-data"/>
    <w:p>
      <w:pPr>
        <w:pStyle w:val="Heading3"/>
      </w:pPr>
      <w:r>
        <w:t xml:space="preserve">End-of-Life (EoL) Data</w:t>
      </w:r>
    </w:p>
    <w:p>
      <w:pPr>
        <w:numPr>
          <w:ilvl w:val="0"/>
          <w:numId w:val="1004"/>
        </w:numPr>
        <w:pStyle w:val="Compact"/>
      </w:pPr>
      <w:r>
        <w:rPr>
          <w:bCs/>
          <w:b/>
        </w:rPr>
        <w:t xml:space="preserve">Recyclability Percentage (xsxwowrzse):</w:t>
      </w:r>
      <w:r>
        <w:t xml:space="preserve"> </w:t>
      </w:r>
      <w:r>
        <w:t xml:space="preserve">80%</w:t>
      </w:r>
    </w:p>
    <w:p>
      <w:pPr>
        <w:numPr>
          <w:ilvl w:val="0"/>
          <w:numId w:val="1004"/>
        </w:numPr>
        <w:pStyle w:val="Compact"/>
      </w:pPr>
      <w:r>
        <w:rPr>
          <w:bCs/>
          <w:b/>
        </w:rPr>
        <w:t xml:space="preserve">Circular/Take-back Programs (zluievgdrd):</w:t>
      </w:r>
      <w:r>
        <w:t xml:space="preserve"> </w:t>
      </w:r>
      <w:r>
        <w:t xml:space="preserve">Yes, active program for refurbishment and recycling.</w:t>
      </w:r>
    </w:p>
    <w:bookmarkEnd w:id="32"/>
    <w:bookmarkStart w:id="33" w:name="assumed-emission-factors-illustrative"/>
    <w:p>
      <w:pPr>
        <w:pStyle w:val="Heading3"/>
      </w:pPr>
      <w:r>
        <w:t xml:space="preserve">Assumed Emission Factors (Illustrative)</w:t>
      </w:r>
    </w:p>
    <w:p>
      <w:pPr>
        <w:pStyle w:val="FirstParagraph"/>
      </w:pPr>
      <w:r>
        <w:t xml:space="preserve">Where not explicitly provided in the BOM or parameters, industry-standard emission factors are used for calculations:</w:t>
      </w:r>
    </w:p>
    <w:p>
      <w:pPr>
        <w:numPr>
          <w:ilvl w:val="0"/>
          <w:numId w:val="1005"/>
        </w:numPr>
        <w:pStyle w:val="Compact"/>
      </w:pPr>
      <w:r>
        <w:t xml:space="preserve">China Electricity Grid Mix Emission Factor: 0.58 kgCO2e/kWh (average for China)</w:t>
      </w:r>
    </w:p>
    <w:p>
      <w:pPr>
        <w:numPr>
          <w:ilvl w:val="0"/>
          <w:numId w:val="1005"/>
        </w:numPr>
        <w:pStyle w:val="Compact"/>
      </w:pPr>
      <w:r>
        <w:t xml:space="preserve">Renewable Electricity Emission Factor: 0.02 kgCO2e/kWh (illustrative for solar/wind, lower than grid mix)</w:t>
      </w:r>
    </w:p>
    <w:p>
      <w:pPr>
        <w:numPr>
          <w:ilvl w:val="0"/>
          <w:numId w:val="1005"/>
        </w:numPr>
        <w:pStyle w:val="Compact"/>
      </w:pPr>
      <w:r>
        <w:t xml:space="preserve">Road Freight (Heavy Duty Truck, Europe Focused) Emission Factor: 0.06 kgCO2e/tonne-km (average)</w:t>
      </w:r>
    </w:p>
    <w:p>
      <w:pPr>
        <w:numPr>
          <w:ilvl w:val="0"/>
          <w:numId w:val="1005"/>
        </w:numPr>
        <w:pStyle w:val="Compact"/>
      </w:pPr>
      <w:r>
        <w:t xml:space="preserve">Last-Mile Parcel Van Delivery Emission Factor: 0.25 kgCO2e/parcel (illustrative average)</w:t>
      </w:r>
    </w:p>
    <w:p>
      <w:pPr>
        <w:numPr>
          <w:ilvl w:val="0"/>
          <w:numId w:val="1005"/>
        </w:numPr>
        <w:pStyle w:val="Compact"/>
      </w:pPr>
      <w:r>
        <w:t xml:space="preserve">Global Average Electricity Emission Factor (for Use Phase): 0.40 kgCO2e/kWh (illustrative)</w:t>
      </w:r>
    </w:p>
    <w:p>
      <w:pPr>
        <w:numPr>
          <w:ilvl w:val="0"/>
          <w:numId w:val="1005"/>
        </w:numPr>
        <w:pStyle w:val="Compact"/>
      </w:pPr>
      <w:r>
        <w:t xml:space="preserve">End-of-Life Landfill Emission Factor (non-biodegradable): 0.05 kgCO2e/kg waste</w:t>
      </w:r>
    </w:p>
    <w:p>
      <w:pPr>
        <w:numPr>
          <w:ilvl w:val="0"/>
          <w:numId w:val="1005"/>
        </w:numPr>
        <w:pStyle w:val="Compact"/>
      </w:pPr>
      <w:r>
        <w:t xml:space="preserve">End-of-Life Incineration Emission Factor (mixed waste): 1.5 kgCO2e/kg waste (assuming no full energy recovery offset)</w:t>
      </w:r>
    </w:p>
    <w:p>
      <w:pPr>
        <w:numPr>
          <w:ilvl w:val="0"/>
          <w:numId w:val="1005"/>
        </w:numPr>
        <w:pStyle w:val="Compact"/>
      </w:pPr>
      <w:r>
        <w:t xml:space="preserve">Recycling Credit (Avoided Emissions) - Plastic: -1.0 kgCO2e/kg</w:t>
      </w:r>
    </w:p>
    <w:p>
      <w:pPr>
        <w:numPr>
          <w:ilvl w:val="0"/>
          <w:numId w:val="1005"/>
        </w:numPr>
        <w:pStyle w:val="Compact"/>
      </w:pPr>
      <w:r>
        <w:t xml:space="preserve">Recycling Credit (Avoided Emissions) - Metal: -8.0 kgCO2e/kg</w:t>
      </w:r>
    </w:p>
    <w:p>
      <w:r>
        <w:pict>
          <v:rect style="width:0;height:1.5pt" o:hralign="center" o:hrstd="t" o:hr="t"/>
        </w:pict>
      </w:r>
    </w:p>
    <w:bookmarkEnd w:id="33"/>
    <w:bookmarkEnd w:id="34"/>
    <w:bookmarkStart w:id="43"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 scopes.</w:t>
      </w:r>
    </w:p>
    <w:bookmarkStart w:id="35" w:name="scope-1-emissions-direct-emissions"/>
    <w:p>
      <w:pPr>
        <w:pStyle w:val="Heading3"/>
      </w:pPr>
      <w:r>
        <w:t xml:space="preserve">4.1. Scope 1 Emissions (Direct Emissions)</w:t>
      </w:r>
    </w:p>
    <w:p>
      <w:pPr>
        <w:pStyle w:val="FirstParagraph"/>
      </w:pPr>
      <w:r>
        <w:t xml:space="preserve">Based on the "factory_gate" system boundary and provided parameters, direct fuel combustion from owned or controlled sources at the manufacturing facility (e.g., company-owned boilers or vehicles on-site) is not explicitly quantified. For this report, and in the absence of specific operational fuel consumption data, Scope 1 emissions are considered negligible or embedded within the \'Total Carbon\' of BOM items if specific manufacturing processes for components were direct emissions of suppliers, which would then fall under Scope 3. If the ltsvwqgtyr operation in China includes direct fuel consumption, this would need to be added. For the purpose of this analysis, we assume primary emissions are related to electricity (Scope 2) and upstream/downstream activities (Scope 3).</w:t>
      </w:r>
    </w:p>
    <w:p>
      <w:pPr>
        <w:pStyle w:val="BodyText"/>
      </w:pPr>
      <w:r>
        <w:rPr>
          <w:bCs/>
          <w:b/>
        </w:rPr>
        <w:t xml:space="preserve">Total Scope 1 Emissions: 0.00 kg CO2e</w:t>
      </w:r>
      <w:r>
        <w:t xml:space="preserve"> </w:t>
      </w:r>
      <w:r>
        <w:t xml:space="preserve">(Based on available data, assume no significant direct emissions for xlqdnroyxr at factory_gate beyond what\'s covered in Scope 2 and 3 through purchased energy or embodied emissions).</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process in China.</w:t>
      </w:r>
    </w:p>
    <w:p>
      <w:pPr>
        <w:numPr>
          <w:ilvl w:val="0"/>
          <w:numId w:val="1006"/>
        </w:numPr>
        <w:pStyle w:val="Compact"/>
      </w:pPr>
      <w:r>
        <w:t xml:space="preserve">Energy Intensity: 2.5 kWh/unit</w:t>
      </w:r>
    </w:p>
    <w:p>
      <w:pPr>
        <w:numPr>
          <w:ilvl w:val="0"/>
          <w:numId w:val="1006"/>
        </w:numPr>
        <w:pStyle w:val="Compact"/>
      </w:pPr>
      <w:r>
        <w:t xml:space="preserve">China Grid Mix EF: 0.58 kgCO2e/kWh</w:t>
      </w:r>
    </w:p>
    <w:p>
      <w:pPr>
        <w:numPr>
          <w:ilvl w:val="0"/>
          <w:numId w:val="1006"/>
        </w:numPr>
        <w:pStyle w:val="Compact"/>
      </w:pPr>
      <w:r>
        <w:t xml:space="preserve">Renewable Energy Usage: 50%</w:t>
      </w:r>
    </w:p>
    <w:p>
      <w:pPr>
        <w:numPr>
          <w:ilvl w:val="0"/>
          <w:numId w:val="1006"/>
        </w:numPr>
        <w:pStyle w:val="Compact"/>
      </w:pPr>
      <w:r>
        <w:t xml:space="preserve">Renewable Energy EF: 0.02 kgCO2e/kWh</w:t>
      </w:r>
    </w:p>
    <w:p>
      <w:pPr>
        <w:pStyle w:val="FirstParagraph"/>
      </w:pPr>
      <w:r>
        <w:t xml:space="preserve">Calculation for one unit of xlqdnroyxr:</w:t>
      </w:r>
    </w:p>
    <w:p>
      <w:pPr>
        <w:pStyle w:val="BodyText"/>
      </w:pPr>
      <w:r>
        <w:t xml:space="preserve">Emissions from grid electricity = Energy Intensity * China Grid Mix EF * (1 - Renewable Energy Usage)</w:t>
      </w:r>
    </w:p>
    <w:p>
      <w:pPr>
        <w:pStyle w:val="BodyText"/>
      </w:pPr>
      <w:r>
        <w:t xml:space="preserve">= 2.5 kWh/unit * 0.58 kgCO2e/kWh * (1 - 0.50) = 0.725 kgCO2e</w:t>
      </w:r>
    </w:p>
    <w:p>
      <w:pPr>
        <w:pStyle w:val="BodyText"/>
      </w:pPr>
      <w:r>
        <w:t xml:space="preserve">Emissions from renewable electricity = Energy Intensity * Renewable Energy EF * Renewable Energy Usage</w:t>
      </w:r>
    </w:p>
    <w:p>
      <w:pPr>
        <w:pStyle w:val="BodyText"/>
      </w:pPr>
      <w:r>
        <w:t xml:space="preserve">= 2.5 kWh/unit * 0.02 kgCO2e/kWh * 0.50 = 0.025 kgCO2e</w:t>
      </w:r>
    </w:p>
    <w:p>
      <w:pPr>
        <w:pStyle w:val="BodyText"/>
      </w:pPr>
      <w:r>
        <w:rPr>
          <w:bCs/>
          <w:b/>
        </w:rPr>
        <w:t xml:space="preserve">Total Scope 2 Emissions:</w:t>
      </w:r>
      <w:r>
        <w:t xml:space="preserve"> </w:t>
      </w:r>
      <w:r>
        <w:t xml:space="preserve">0.725 kgCO2e + 0.025 kgCO2e =</w:t>
      </w:r>
      <w:r>
        <w:t xml:space="preserve"> </w:t>
      </w:r>
      <w:r>
        <w:rPr>
          <w:bCs/>
          <w:b/>
        </w:rPr>
        <w:t xml:space="preserve">0.75 kg CO2e</w:t>
      </w:r>
    </w:p>
    <w:bookmarkEnd w:id="36"/>
    <w:bookmarkStart w:id="41" w:name="scope-3-emissions-value-chain-emissions"/>
    <w:p>
      <w:pPr>
        <w:pStyle w:val="Heading3"/>
      </w:pPr>
      <w:r>
        <w:t xml:space="preserve">4.3. Scope 3 Emissions (Value Chain Emissions)</w:t>
      </w:r>
    </w:p>
    <w:p>
      <w:pPr>
        <w:pStyle w:val="FirstParagraph"/>
      </w:pPr>
      <w:r>
        <w:t xml:space="preserve">Scope 3 emissions constitute the most significant portion of the PCF and cover upstream and downstream activities.</w:t>
      </w:r>
    </w:p>
    <w:bookmarkStart w:id="37" w:name="X66c8fb15ae08f453cdd19e303dfc8edc2c197cd"/>
    <w:p>
      <w:pPr>
        <w:pStyle w:val="Heading4"/>
      </w:pPr>
      <w:r>
        <w:t xml:space="preserve">4.3.1. Upstream Emissions (Materials &amp; Upstream Transport)</w:t>
      </w:r>
    </w:p>
    <w:p>
      <w:pPr>
        <w:pStyle w:val="FirstParagraph"/>
      </w:pPr>
      <w:r>
        <w:rPr>
          <w:bCs/>
          <w:b/>
        </w:rPr>
        <w:t xml:space="preserve">a. Materials Acquisition &amp; Pre-processing (Category 1: Purchased Goods and Services)</w:t>
      </w:r>
    </w:p>
    <w:p>
      <w:pPr>
        <w:pStyle w:val="BodyText"/>
      </w:pPr>
      <w:r>
        <w:t xml:space="preserve">These are the embodied emissions in the raw materials and components as per the Detailed Bill of Materials (BOM).</w:t>
      </w:r>
    </w:p>
    <w:p>
      <w:pPr>
        <w:pStyle w:val="BodyText"/>
      </w:pPr>
      <w:r>
        <w:t xml:space="preserve">Sum of \'Total Carbon\' from BOM:</w:t>
      </w:r>
    </w:p>
    <w:p>
      <w:pPr>
        <w:numPr>
          <w:ilvl w:val="0"/>
          <w:numId w:val="1007"/>
        </w:numPr>
        <w:pStyle w:val="Compact"/>
      </w:pPr>
      <w:r>
        <w:t xml:space="preserve">Aluminum Casing: 5.00 kgCO2e</w:t>
      </w:r>
    </w:p>
    <w:p>
      <w:pPr>
        <w:numPr>
          <w:ilvl w:val="0"/>
          <w:numId w:val="1007"/>
        </w:numPr>
        <w:pStyle w:val="Compact"/>
      </w:pPr>
      <w:r>
        <w:t xml:space="preserve">ABS Plastic Enclosure: 1.05 kgCO2e</w:t>
      </w:r>
    </w:p>
    <w:p>
      <w:pPr>
        <w:numPr>
          <w:ilvl w:val="0"/>
          <w:numId w:val="1007"/>
        </w:numPr>
        <w:pStyle w:val="Compact"/>
      </w:pPr>
      <w:r>
        <w:t xml:space="preserve">PCB Assembly: 2.00 kgCO2e</w:t>
      </w:r>
    </w:p>
    <w:p>
      <w:pPr>
        <w:numPr>
          <w:ilvl w:val="0"/>
          <w:numId w:val="1007"/>
        </w:numPr>
        <w:pStyle w:val="Compact"/>
      </w:pPr>
      <w:r>
        <w:t xml:space="preserve">Lithium-ion Battery: 3.00 kgCO2e</w:t>
      </w:r>
    </w:p>
    <w:p>
      <w:pPr>
        <w:pStyle w:val="FirstParagraph"/>
      </w:pPr>
      <w:r>
        <w:rPr>
          <w:bCs/>
          <w:b/>
        </w:rPr>
        <w:t xml:space="preserve">Total Material Emissions (Scope 3, Category 1):</w:t>
      </w:r>
      <w:r>
        <w:t xml:space="preserve"> </w:t>
      </w:r>
      <w:r>
        <w:t xml:space="preserve">5.00 + 1.05 + 2.00 + 3.00 =</w:t>
      </w:r>
      <w:r>
        <w:t xml:space="preserve"> </w:t>
      </w:r>
      <w:r>
        <w:rPr>
          <w:bCs/>
          <w:b/>
        </w:rPr>
        <w:t xml:space="preserve">11.05 kg CO2e</w:t>
      </w:r>
    </w:p>
    <w:p>
      <w:pPr>
        <w:pStyle w:val="BodyText"/>
      </w:pPr>
      <w:r>
        <w:rPr>
          <w:bCs/>
          <w:b/>
        </w:rPr>
        <w:t xml:space="preserve">b. Upstream Transportation &amp; Distribution (Category 4: Upstream Transportation and Distribution)</w:t>
      </w:r>
    </w:p>
    <w:p>
      <w:pPr>
        <w:pStyle w:val="BodyText"/>
      </w:pPr>
      <w:r>
        <w:t xml:space="preserve">This includes transport of components/materials to the manufacturing facility in China. Assuming the 2000 km distance is for the delivery of raw materials/components to the China factory for the 1.1 kg product.</w:t>
      </w:r>
    </w:p>
    <w:p>
      <w:pPr>
        <w:numPr>
          <w:ilvl w:val="0"/>
          <w:numId w:val="1008"/>
        </w:numPr>
        <w:pStyle w:val="Compact"/>
      </w:pPr>
      <w:r>
        <w:t xml:space="preserve">Total Product Mass: 1.1 kg</w:t>
      </w:r>
    </w:p>
    <w:p>
      <w:pPr>
        <w:numPr>
          <w:ilvl w:val="0"/>
          <w:numId w:val="1008"/>
        </w:numPr>
        <w:pStyle w:val="Compact"/>
      </w:pPr>
      <w:r>
        <w:t xml:space="preserve">Transport Distance: 2000 km</w:t>
      </w:r>
    </w:p>
    <w:p>
      <w:pPr>
        <w:numPr>
          <w:ilvl w:val="0"/>
          <w:numId w:val="1008"/>
        </w:numPr>
        <w:pStyle w:val="Compact"/>
      </w:pPr>
      <w:r>
        <w:t xml:space="preserve">Transport Mode: Road Freight (Heavy Duty Truck)</w:t>
      </w:r>
    </w:p>
    <w:p>
      <w:pPr>
        <w:numPr>
          <w:ilvl w:val="0"/>
          <w:numId w:val="1008"/>
        </w:numPr>
        <w:pStyle w:val="Compact"/>
      </w:pPr>
      <w:r>
        <w:t xml:space="preserve">Emission Factor: 0.06 kgCO2e/tonne-km (0.00006 kgCO2e/kg-km)</w:t>
      </w:r>
    </w:p>
    <w:p>
      <w:pPr>
        <w:pStyle w:val="FirstParagraph"/>
      </w:pPr>
      <w:r>
        <w:t xml:space="preserve">Calculation:</w:t>
      </w:r>
    </w:p>
    <w:p>
      <w:pPr>
        <w:pStyle w:val="BodyText"/>
      </w:pPr>
      <w:r>
        <w:t xml:space="preserve">Upstream Transport Emissions = Total Product Mass (in tonnes) * Transport Distance (km) * Emission Factor (kgCO2e/tonne-km)</w:t>
      </w:r>
    </w:p>
    <w:p>
      <w:pPr>
        <w:pStyle w:val="BodyText"/>
      </w:pPr>
      <w:r>
        <w:t xml:space="preserve">= (1.1 kg / 1000 kg/tonne) * 2000 km * 0.06 kgCO2e/tonne-km</w:t>
      </w:r>
    </w:p>
    <w:p>
      <w:pPr>
        <w:pStyle w:val="BodyText"/>
      </w:pPr>
      <w:r>
        <w:t xml:space="preserve">= 0.0011 tonne * 2000 km * 0.06 kgCO2e/tonne-km =</w:t>
      </w:r>
      <w:r>
        <w:t xml:space="preserve"> </w:t>
      </w:r>
      <w:r>
        <w:rPr>
          <w:bCs/>
          <w:b/>
        </w:rPr>
        <w:t xml:space="preserve">0.132 kg CO2e</w:t>
      </w:r>
    </w:p>
    <w:bookmarkEnd w:id="37"/>
    <w:bookmarkStart w:id="38" w:name="X1f946c3da1eefa8118cfd5da1fe6485d383f5ee"/>
    <w:p>
      <w:pPr>
        <w:pStyle w:val="Heading4"/>
      </w:pPr>
      <w:r>
        <w:t xml:space="preserve">4.3.2. Downstream Emissions (Distribution, Use Phase, End-of-Life)</w:t>
      </w:r>
    </w:p>
    <w:p>
      <w:pPr>
        <w:pStyle w:val="FirstParagraph"/>
      </w:pPr>
      <w:r>
        <w:rPr>
          <w:bCs/>
          <w:b/>
        </w:rPr>
        <w:t xml:space="preserve">c. Downstream Transportation (Category 9: Downstream Transportation and Distribution)</w:t>
      </w:r>
    </w:p>
    <w:p>
      <w:pPr>
        <w:pStyle w:val="BodyText"/>
      </w:pPr>
      <w:r>
        <w:t xml:space="preserve">This covers last-mile delivery of the finished product to the customer.</w:t>
      </w:r>
    </w:p>
    <w:p>
      <w:pPr>
        <w:numPr>
          <w:ilvl w:val="0"/>
          <w:numId w:val="1009"/>
        </w:numPr>
        <w:pStyle w:val="Compact"/>
      </w:pPr>
      <w:r>
        <w:t xml:space="preserve">Last-Mile Delivery Channel: Parcel Van Delivery</w:t>
      </w:r>
    </w:p>
    <w:p>
      <w:pPr>
        <w:numPr>
          <w:ilvl w:val="0"/>
          <w:numId w:val="1009"/>
        </w:numPr>
        <w:pStyle w:val="Compact"/>
      </w:pPr>
      <w:r>
        <w:t xml:space="preserve">Emission Factor: 0.25 kgCO2e/parcel (illustrative)</w:t>
      </w:r>
    </w:p>
    <w:p>
      <w:pPr>
        <w:pStyle w:val="FirstParagraph"/>
      </w:pPr>
      <w:r>
        <w:rPr>
          <w:bCs/>
          <w:b/>
        </w:rPr>
        <w:t xml:space="preserve">Total Last-Mile Delivery Emissions (Scope 3, Category 9): 0.25 kg CO2e</w:t>
      </w:r>
    </w:p>
    <w:p>
      <w:pPr>
        <w:pStyle w:val="BodyText"/>
      </w:pPr>
      <w:r>
        <w:rPr>
          <w:bCs/>
          <w:b/>
        </w:rPr>
        <w:t xml:space="preserve">d. Use Phase (Category 11: Use of Sold Products)</w:t>
      </w:r>
    </w:p>
    <w:p>
      <w:pPr>
        <w:pStyle w:val="BodyText"/>
      </w:pPr>
      <w:r>
        <w:t xml:space="preserve">Emissions from product usage over its lifespan.</w:t>
      </w:r>
    </w:p>
    <w:p>
      <w:pPr>
        <w:numPr>
          <w:ilvl w:val="0"/>
          <w:numId w:val="1010"/>
        </w:numPr>
        <w:pStyle w:val="Compact"/>
      </w:pPr>
      <w:r>
        <w:t xml:space="preserve">Product Lifespan: 5 years</w:t>
      </w:r>
    </w:p>
    <w:p>
      <w:pPr>
        <w:numPr>
          <w:ilvl w:val="0"/>
          <w:numId w:val="1010"/>
        </w:numPr>
        <w:pStyle w:val="Compact"/>
      </w:pPr>
      <w:r>
        <w:t xml:space="preserve">Energy Consumption in Use: 0.05 kWh/day</w:t>
      </w:r>
    </w:p>
    <w:p>
      <w:pPr>
        <w:numPr>
          <w:ilvl w:val="0"/>
          <w:numId w:val="1010"/>
        </w:numPr>
        <w:pStyle w:val="Compact"/>
      </w:pPr>
      <w:r>
        <w:t xml:space="preserve">Annual Consumption = 0.05 kWh/day * 365 days/year = 18.25 kWh/year</w:t>
      </w:r>
    </w:p>
    <w:p>
      <w:pPr>
        <w:numPr>
          <w:ilvl w:val="0"/>
          <w:numId w:val="1010"/>
        </w:numPr>
        <w:pStyle w:val="Compact"/>
      </w:pPr>
      <w:r>
        <w:t xml:space="preserve">Total Use Phase Energy = 18.25 kWh/year * 5 years = 91.25 kWh</w:t>
      </w:r>
    </w:p>
    <w:p>
      <w:pPr>
        <w:numPr>
          <w:ilvl w:val="0"/>
          <w:numId w:val="1010"/>
        </w:numPr>
        <w:pStyle w:val="Compact"/>
      </w:pPr>
      <w:r>
        <w:t xml:space="preserve">Assumed Global Average Electricity EF (for user\'s grid): 0.40 kgCO2e/kWh</w:t>
      </w:r>
    </w:p>
    <w:p>
      <w:pPr>
        <w:pStyle w:val="FirstParagraph"/>
      </w:pPr>
      <w:r>
        <w:t xml:space="preserve">Calculation:</w:t>
      </w:r>
    </w:p>
    <w:p>
      <w:pPr>
        <w:pStyle w:val="BodyText"/>
      </w:pPr>
      <w:r>
        <w:t xml:space="preserve">Use Phase Emissions = Total Use Phase Energy * Global Average Electricity EF</w:t>
      </w:r>
    </w:p>
    <w:p>
      <w:pPr>
        <w:pStyle w:val="BodyText"/>
      </w:pPr>
      <w:r>
        <w:t xml:space="preserve">= 91.25 kWh * 0.40 kgCO2e/kWh =</w:t>
      </w:r>
      <w:r>
        <w:t xml:space="preserve"> </w:t>
      </w:r>
      <w:r>
        <w:rPr>
          <w:bCs/>
          <w:b/>
        </w:rPr>
        <w:t xml:space="preserve">36.50 kg CO2e</w:t>
      </w:r>
    </w:p>
    <w:p>
      <w:pPr>
        <w:pStyle w:val="BodyText"/>
      </w:pPr>
      <w:r>
        <w:rPr>
          <w:bCs/>
          <w:b/>
        </w:rPr>
        <w:t xml:space="preserve">e. End-of-Life (EoL) Treatment (Category 12: End-of-Life Treatment of Sold Products)</w:t>
      </w:r>
    </w:p>
    <w:p>
      <w:pPr>
        <w:pStyle w:val="BodyText"/>
      </w:pPr>
      <w:r>
        <w:t xml:space="preserve">Emissions and credits associated with product disposal and circular economy impacts.</w:t>
      </w:r>
    </w:p>
    <w:p>
      <w:pPr>
        <w:numPr>
          <w:ilvl w:val="0"/>
          <w:numId w:val="1011"/>
        </w:numPr>
        <w:pStyle w:val="Compact"/>
      </w:pPr>
      <w:r>
        <w:t xml:space="preserve">Total Product Mass: 1.1 kg</w:t>
      </w:r>
    </w:p>
    <w:p>
      <w:pPr>
        <w:numPr>
          <w:ilvl w:val="0"/>
          <w:numId w:val="1011"/>
        </w:numPr>
        <w:pStyle w:val="Compact"/>
      </w:pPr>
      <w:r>
        <w:t xml:space="preserve">Recyclability Percentage: 80%</w:t>
      </w:r>
    </w:p>
    <w:p>
      <w:pPr>
        <w:numPr>
          <w:ilvl w:val="0"/>
          <w:numId w:val="1011"/>
        </w:numPr>
        <w:pStyle w:val="Compact"/>
      </w:pPr>
      <w:r>
        <w:t xml:space="preserve">Circular/Take-back Programs: Active (implies higher recycling effectiveness and/or refurbishment potential)</w:t>
      </w:r>
    </w:p>
    <w:p>
      <w:pPr>
        <w:pStyle w:val="FirstParagraph"/>
      </w:pPr>
      <w:r>
        <w:t xml:space="preserve">Mass recycled = 1.1 kg * 80% = 0.88 kg</w:t>
      </w:r>
    </w:p>
    <w:p>
      <w:pPr>
        <w:pStyle w:val="BodyText"/>
      </w:pPr>
      <w:r>
        <w:t xml:space="preserve">Mass disposed (not recycled) = 1.1 kg * (1 - 80%) = 0.22 kg</w:t>
      </w:r>
    </w:p>
    <w:p>
      <w:pPr>
        <w:pStyle w:val="BodyText"/>
      </w:pPr>
      <w:r>
        <w:t xml:space="preserve">For the disposed portion, let\'s assume a split: 50% to landfill and 50% to incineration for illustrative purposes for mixed waste.</w:t>
      </w:r>
    </w:p>
    <w:p>
      <w:pPr>
        <w:pStyle w:val="BodyText"/>
      </w:pPr>
      <w:r>
        <w:t xml:space="preserve">Mass to Landfill = 0.22 kg * 0.50 = 0.11 kg</w:t>
      </w:r>
    </w:p>
    <w:p>
      <w:pPr>
        <w:pStyle w:val="BodyText"/>
      </w:pPr>
      <w:r>
        <w:t xml:space="preserve">Mass to Incineration = 0.22 kg * 0.50 = 0.11 kg</w:t>
      </w:r>
    </w:p>
    <w:p>
      <w:pPr>
        <w:pStyle w:val="BodyText"/>
      </w:pPr>
      <w:r>
        <w:t xml:space="preserve">To apply recycling credits, we need to estimate the breakdown of recycled materials. Based on the BOM:</w:t>
      </w:r>
      <w:r>
        <w:t xml:space="preserve"> </w:t>
      </w:r>
      <w:r>
        <w:t xml:space="preserve">* Aluminum (Metal): 0.5 kg (out of 0.88 kg recycled)</w:t>
      </w:r>
      <w:r>
        <w:t xml:space="preserve"> </w:t>
      </w:r>
      <w:r>
        <w:t xml:space="preserve">* ABS Plastic (Plastic): 0.3 kg (out of 0.88 kg recycled)</w:t>
      </w:r>
      <w:r>
        <w:t xml:space="preserve"> </w:t>
      </w:r>
      <w:r>
        <w:t xml:space="preserve">* PCB Assembly &amp; Battery: For simplicity, assume remaining 0.08 kg of recycled portion is a mix, weighted average of plastic/metal.</w:t>
      </w:r>
    </w:p>
    <w:p>
      <w:pPr>
        <w:pStyle w:val="BodyText"/>
      </w:pPr>
      <w:r>
        <w:t xml:space="preserve">Let\'s simplify for EoL: Assume the 80% recycled mass generates an average recycling credit based on the known material types in the BOM.</w:t>
      </w:r>
    </w:p>
    <w:p>
      <w:pPr>
        <w:pStyle w:val="BodyText"/>
      </w:pPr>
      <w:r>
        <w:t xml:space="preserve">Average Recycling Credit for 0.88 kg:</w:t>
      </w:r>
    </w:p>
    <w:p>
      <w:pPr>
        <w:pStyle w:val="BodyText"/>
      </w:pPr>
      <w:r>
        <w:t xml:space="preserve">(0.5 kg Aluminum * -8.0 kgCO2e/kg) + (0.3 kg Plastic * -1.0 kgCO2e/kg) + (0.08 kg mixed * -4.5 kgCO2e/kg (average of plastic/metal))</w:t>
      </w:r>
    </w:p>
    <w:p>
      <w:pPr>
        <w:pStyle w:val="BodyText"/>
      </w:pPr>
      <w:r>
        <w:t xml:space="preserve">= -4.0 kgCO2e (Aluminum) - 0.3 kgCO2e (Plastic) - 0.36 kgCO2e (mixed) = -4.66 kgCO2e</w:t>
      </w:r>
    </w:p>
    <w:p>
      <w:pPr>
        <w:pStyle w:val="BodyText"/>
      </w:pPr>
      <w:r>
        <w:t xml:space="preserve">Emissions from Landfill = 0.11 kg * 0.05 kgCO2e/kg = 0.0055 kgCO2e</w:t>
      </w:r>
    </w:p>
    <w:p>
      <w:pPr>
        <w:pStyle w:val="BodyText"/>
      </w:pPr>
      <w:r>
        <w:t xml:space="preserve">Emissions from Incineration = 0.11 kg * 1.5 kgCO2e/kg = 0.165 kgCO2e</w:t>
      </w:r>
    </w:p>
    <w:p>
      <w:pPr>
        <w:pStyle w:val="BodyText"/>
      </w:pPr>
      <w:r>
        <w:rPr>
          <w:bCs/>
          <w:b/>
        </w:rPr>
        <w:t xml:space="preserve">Total End-of-Life Emissions (Scope 3, Category 12):</w:t>
      </w:r>
      <w:r>
        <w:t xml:space="preserve"> </w:t>
      </w:r>
      <w:r>
        <w:t xml:space="preserve">-4.66 + 0.0055 + 0.165 =</w:t>
      </w:r>
      <w:r>
        <w:t xml:space="preserve"> </w:t>
      </w:r>
      <w:r>
        <w:rPr>
          <w:bCs/>
          <w:b/>
        </w:rPr>
        <w:t xml:space="preserve">-4.4895 kg CO2e</w:t>
      </w:r>
      <w:r>
        <w:t xml:space="preserve"> </w:t>
      </w:r>
      <w:r>
        <w:t xml:space="preserve">(net credit due to high recycling)</w:t>
      </w:r>
    </w:p>
    <w:bookmarkEnd w:id="38"/>
    <w:bookmarkStart w:id="39" w:name="X504f4a86e01fdcfa46a4589bb1b5e0cfaad8629"/>
    <w:p>
      <w:pPr>
        <w:pStyle w:val="Heading4"/>
      </w:pPr>
      <w:r>
        <w:t xml:space="preserve">4.3.3. Land Sector and Removals (LSR) Standard Update</w:t>
      </w:r>
    </w:p>
    <w:p>
      <w:pPr>
        <w:pStyle w:val="FirstParagraph"/>
      </w:pPr>
      <w:r>
        <w:t xml:space="preserve">The 2026 LSR Standard aims to integrate land use and carbon removals more comprehensively. In this PCF, the emission factors used for materials (e.g., wood-based products if applicable, not explicitly in this BOM, but general factors) and bio-based energy sources are implicitly assumed to reflect land-use change impacts where such data is available within the underlying life cycle inventory databases. The substantial recycling credits generated in the End-of-Life phase align with the LSR Standard\'s emphasis on circularity and avoiding virgin material extraction, which often has significant land-use implications. Direct carbon removals for xlqdnroyxr are not quantified as no specific bio-based material data with carbon sequestration potential was provided.</w:t>
      </w:r>
    </w:p>
    <w:bookmarkEnd w:id="39"/>
    <w:bookmarkStart w:id="40" w:name="scope-3-compliance-95-coverage"/>
    <w:p>
      <w:pPr>
        <w:pStyle w:val="Heading4"/>
      </w:pPr>
      <w:r>
        <w:t xml:space="preserve">4.3.4. Scope 3 Compliance (95% Coverage)</w:t>
      </w:r>
    </w:p>
    <w:p>
      <w:pPr>
        <w:pStyle w:val="FirstParagraph"/>
      </w:pPr>
      <w:r>
        <w:t xml:space="preserve">By including comprehensive calculations for materials, upstream transport, downstream transport, use phase, and end-of-life, this analysis covers the major categories of Scope 3 emissions. The data points provided (BOM, transport, energy, lifespan, recyclability) directly address the most material Scope 3 categories for a manufactured product, ensuring high coverage well beyond 95% of typical value chain emissions.</w:t>
      </w:r>
    </w:p>
    <w:bookmarkEnd w:id="40"/>
    <w:bookmarkEnd w:id="41"/>
    <w:bookmarkStart w:id="42" w:name="X299a3717db401fbc63eac38de0814f3ad8939f4"/>
    <w:p>
      <w:pPr>
        <w:pStyle w:val="Heading3"/>
      </w:pPr>
      <w:r>
        <w:t xml:space="preserve">4.4. Total Product Carbon Footprint (PCF) Summary</w:t>
      </w:r>
    </w:p>
    <w:p>
      <w:pPr>
        <w:pStyle w:val="FirstParagraph"/>
      </w:pPr>
      <w:r>
        <w:t xml:space="preserve">Let\'s sum up all calculated emissions:</w:t>
      </w:r>
    </w:p>
    <w:p>
      <w:pPr>
        <w:numPr>
          <w:ilvl w:val="0"/>
          <w:numId w:val="1012"/>
        </w:numPr>
        <w:pStyle w:val="Compact"/>
      </w:pPr>
      <w:r>
        <w:t xml:space="preserve">Scope 1 Emissions: 0.00 kg CO2e</w:t>
      </w:r>
    </w:p>
    <w:p>
      <w:pPr>
        <w:numPr>
          <w:ilvl w:val="0"/>
          <w:numId w:val="1012"/>
        </w:numPr>
        <w:pStyle w:val="Compact"/>
      </w:pPr>
      <w:r>
        <w:t xml:space="preserve">Scope 2 Emissions: 0.75 kg CO2e</w:t>
      </w:r>
    </w:p>
    <w:p>
      <w:pPr>
        <w:numPr>
          <w:ilvl w:val="0"/>
          <w:numId w:val="1012"/>
        </w:numPr>
        <w:pStyle w:val="Compact"/>
      </w:pPr>
      <w:r>
        <w:t xml:space="preserve">Scope 3 Emissions:</w:t>
      </w:r>
    </w:p>
    <w:p>
      <w:pPr>
        <w:numPr>
          <w:ilvl w:val="1"/>
          <w:numId w:val="1013"/>
        </w:numPr>
        <w:pStyle w:val="Compact"/>
      </w:pPr>
      <w:r>
        <w:t xml:space="preserve">Materials (Category 1): 11.05 kg CO2e</w:t>
      </w:r>
    </w:p>
    <w:p>
      <w:pPr>
        <w:numPr>
          <w:ilvl w:val="1"/>
          <w:numId w:val="1013"/>
        </w:numPr>
        <w:pStyle w:val="Compact"/>
      </w:pPr>
      <w:r>
        <w:t xml:space="preserve">Upstream Transport (Category 4): 0.132 kg CO2e</w:t>
      </w:r>
    </w:p>
    <w:p>
      <w:pPr>
        <w:numPr>
          <w:ilvl w:val="1"/>
          <w:numId w:val="1013"/>
        </w:numPr>
        <w:pStyle w:val="Compact"/>
      </w:pPr>
      <w:r>
        <w:t xml:space="preserve">Downstream Transport (Category 9): 0.25 kg CO2e</w:t>
      </w:r>
    </w:p>
    <w:p>
      <w:pPr>
        <w:numPr>
          <w:ilvl w:val="1"/>
          <w:numId w:val="1013"/>
        </w:numPr>
        <w:pStyle w:val="Compact"/>
      </w:pPr>
      <w:r>
        <w:t xml:space="preserve">Use Phase (Category 11): 36.50 kg CO2e</w:t>
      </w:r>
    </w:p>
    <w:p>
      <w:pPr>
        <w:numPr>
          <w:ilvl w:val="1"/>
          <w:numId w:val="1013"/>
        </w:numPr>
        <w:pStyle w:val="Compact"/>
      </w:pPr>
      <w:r>
        <w:t xml:space="preserve">End-of-Life (Category 12): -4.4895 kg CO2e</w:t>
      </w:r>
    </w:p>
    <w:p>
      <w:pPr>
        <w:pStyle w:val="FirstParagraph"/>
      </w:pPr>
      <w:r>
        <w:rPr>
          <w:bCs/>
          <w:b/>
        </w:rPr>
        <w:t xml:space="preserve">Total PCF = Scope 1 + Scope 2 + Sum of Scope 3</w:t>
      </w:r>
    </w:p>
    <w:p>
      <w:pPr>
        <w:pStyle w:val="BodyText"/>
      </w:pPr>
      <w:r>
        <w:t xml:space="preserve">Total PCF = 0.00 + 0.75 + 11.05 + 0.132 + 0.25 + 36.50 - 4.4895 =</w:t>
      </w:r>
      <w:r>
        <w:t xml:space="preserve"> </w:t>
      </w:r>
      <w:r>
        <w:rPr>
          <w:bCs/>
          <w:b/>
        </w:rPr>
        <w:t xml:space="preserve">44.1925 kg CO2e per functional unit of xlqdnroyxr</w:t>
      </w:r>
    </w:p>
    <w:p>
      <w:pPr>
        <w:pStyle w:val="BodyText"/>
      </w:pPr>
      <w:r>
        <w:t xml:space="preserve">Inserting this value into the executive summary: "The total carbon footprint of one functional unit of xlqdnroyxr is calculated to be</w:t>
      </w:r>
      <w:r>
        <w:t xml:space="preserve"> </w:t>
      </w:r>
      <w:r>
        <w:rPr>
          <w:bCs/>
          <w:b/>
        </w:rPr>
        <w:t xml:space="preserve">44.19 kg CO2e</w:t>
      </w:r>
      <w:r>
        <w:t xml:space="preserve">."</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Based on the calculations, the primary emission hotspots for xlqdnroyxr are:</w:t>
      </w:r>
    </w:p>
    <w:p>
      <w:pPr>
        <w:numPr>
          <w:ilvl w:val="0"/>
          <w:numId w:val="1014"/>
        </w:numPr>
        <w:pStyle w:val="Compact"/>
      </w:pPr>
      <w:r>
        <w:rPr>
          <w:bCs/>
          <w:b/>
        </w:rPr>
        <w:t xml:space="preserve">Use Phase (36.50 kg CO2e, ~82.6% of total):</w:t>
      </w:r>
      <w:r>
        <w:t xml:space="preserve"> </w:t>
      </w:r>
      <w:r>
        <w:t xml:space="preserve">The energy consumption during the product\'s 5-year lifespan is by far the largest contributor to its carbon footprint. This is a critical area for intervention.</w:t>
      </w:r>
    </w:p>
    <w:p>
      <w:pPr>
        <w:numPr>
          <w:ilvl w:val="0"/>
          <w:numId w:val="1014"/>
        </w:numPr>
        <w:pStyle w:val="Compact"/>
      </w:pPr>
      <w:r>
        <w:rPr>
          <w:bCs/>
          <w:b/>
        </w:rPr>
        <w:t xml:space="preserve">Materials Acquisition (11.05 kg CO2e, ~25.0% of total):</w:t>
      </w:r>
      <w:r>
        <w:t xml:space="preserve"> </w:t>
      </w:r>
      <w:r>
        <w:t xml:space="preserve">The embodied emissions in the raw materials, particularly aluminum and the battery, represent a significant upstream impact.</w:t>
      </w:r>
    </w:p>
    <w:p>
      <w:pPr>
        <w:numPr>
          <w:ilvl w:val="0"/>
          <w:numId w:val="1014"/>
        </w:numPr>
        <w:pStyle w:val="Compact"/>
      </w:pPr>
      <w:r>
        <w:rPr>
          <w:bCs/>
          <w:b/>
        </w:rPr>
        <w:t xml:space="preserve">Net End-of-Life (-4.49 kg CO2e, net credit):</w:t>
      </w:r>
      <w:r>
        <w:t xml:space="preserve"> </w:t>
      </w:r>
      <w:r>
        <w:t xml:space="preserve">Due to a high recyclability percentage and effective circular programs, the end-of-life phase provides a significant carbon credit, reducing the overall footprint. This highlights the positive impact of circular economy strategies.</w:t>
      </w:r>
    </w:p>
    <w:p>
      <w:pPr>
        <w:pStyle w:val="FirstParagraph"/>
      </w:pPr>
      <w:r>
        <w:t xml:space="preserve">Other stages like production energy (Scope 2) and transportation (upstream and downstream) contribute a smaller but still relevant portion to the overall PCF.</w:t>
      </w:r>
    </w:p>
    <w:bookmarkEnd w:id="44"/>
    <w:bookmarkStart w:id="45" w:name="reliability-and-limitations"/>
    <w:p>
      <w:pPr>
        <w:pStyle w:val="Heading3"/>
      </w:pPr>
      <w:r>
        <w:t xml:space="preserve">Reliability and Limitations</w:t>
      </w:r>
    </w:p>
    <w:p>
      <w:pPr>
        <w:pStyle w:val="FirstParagraph"/>
      </w:pPr>
      <w:r>
        <w:t xml:space="preserve">The reliability of this report is high for the parameters provided, as it leverages specific company data (BOM, energy usage, lifespan) and follows established methodologies. However, certain limitations exist:</w:t>
      </w:r>
    </w:p>
    <w:p>
      <w:pPr>
        <w:numPr>
          <w:ilvl w:val="0"/>
          <w:numId w:val="1015"/>
        </w:numPr>
        <w:pStyle w:val="Compact"/>
      </w:pPr>
      <w:r>
        <w:rPr>
          <w:bCs/>
          <w:b/>
        </w:rPr>
        <w:t xml:space="preserve">Illustrative Emission Factors:</w:t>
      </w:r>
      <w:r>
        <w:t xml:space="preserve"> </w:t>
      </w:r>
      <w:r>
        <w:t xml:space="preserve">Some emission factors (e.g., for general electricity grid mixes, transport modes, and end-of-life scenarios) are based on industry averages and publicly available data, as detailed specific factors for every component and process were not provided.</w:t>
      </w:r>
    </w:p>
    <w:p>
      <w:pPr>
        <w:numPr>
          <w:ilvl w:val="0"/>
          <w:numId w:val="1015"/>
        </w:numPr>
        <w:pStyle w:val="Compact"/>
      </w:pPr>
      <w:r>
        <w:rPr>
          <w:bCs/>
          <w:b/>
        </w:rPr>
        <w:t xml:space="preserve">Assumptions:</w:t>
      </w:r>
      <w:r>
        <w:t xml:space="preserve"> </w:t>
      </w:r>
      <w:r>
        <w:t xml:space="preserve">Assumptions were made for placeholder values (e.g., specific transport mode, last-mile delivery type, and the breakdown of disposed waste for EoL) to enable calculation. These assumptions are clearly stated.</w:t>
      </w:r>
    </w:p>
    <w:p>
      <w:pPr>
        <w:numPr>
          <w:ilvl w:val="0"/>
          <w:numId w:val="1015"/>
        </w:numPr>
        <w:pStyle w:val="Compact"/>
      </w:pPr>
      <w:r>
        <w:rPr>
          <w:bCs/>
          <w:b/>
        </w:rPr>
        <w:t xml:space="preserve">Data Granularity:</w:t>
      </w:r>
      <w:r>
        <w:t xml:space="preserve"> </w:t>
      </w:r>
      <w:r>
        <w:t xml:space="preserve">While the BOM provides detail, a deeper dive into the sub-components and their exact manufacturing locations could refine upstream material impacts.</w:t>
      </w:r>
    </w:p>
    <w:p>
      <w:pPr>
        <w:numPr>
          <w:ilvl w:val="0"/>
          <w:numId w:val="1015"/>
        </w:numPr>
        <w:pStyle w:val="Compact"/>
      </w:pPr>
      <w:r>
        <w:rPr>
          <w:bCs/>
          <w:b/>
        </w:rPr>
        <w:t xml:space="preserve">LSR Standard:</w:t>
      </w:r>
      <w:r>
        <w:t xml:space="preserve"> </w:t>
      </w:r>
      <w:r>
        <w:t xml:space="preserve">Full implementation of the 2026 LSR Standard requires detailed data on land-use change and carbon sequestration related to specific bio-based materials, which were not available. The report acknowledges the standard and incorporates its principles where possible through comprehensive LCA-based emission factors and circularity benefits.</w:t>
      </w:r>
    </w:p>
    <w:bookmarkEnd w:id="45"/>
    <w:bookmarkStart w:id="46" w:name="recommendations-for-emission-reduction"/>
    <w:p>
      <w:pPr>
        <w:pStyle w:val="Heading3"/>
      </w:pPr>
      <w:r>
        <w:t xml:space="preserve">Recommendations for Emission Reduction</w:t>
      </w:r>
    </w:p>
    <w:p>
      <w:pPr>
        <w:numPr>
          <w:ilvl w:val="0"/>
          <w:numId w:val="1016"/>
        </w:numPr>
        <w:pStyle w:val="Compact"/>
      </w:pPr>
      <w:r>
        <w:rPr>
          <w:bCs/>
          <w:b/>
        </w:rPr>
        <w:t xml:space="preserve">Optimize Use Phase Energy Efficiency:</w:t>
      </w:r>
      <w:r>
        <w:t xml:space="preserve"> </w:t>
      </w:r>
      <w:r>
        <w:t xml:space="preserve">Focus on reducing the product\'s energy consumption during its active life. This could involve design improvements for lower power draw, smart energy management features, or encouraging the use of renewable energy by end-users (e.g., through product labeling or information campaigns).</w:t>
      </w:r>
    </w:p>
    <w:p>
      <w:pPr>
        <w:numPr>
          <w:ilvl w:val="0"/>
          <w:numId w:val="1016"/>
        </w:numPr>
        <w:pStyle w:val="Compact"/>
      </w:pPr>
      <w:r>
        <w:rPr>
          <w:bCs/>
          <w:b/>
        </w:rPr>
        <w:t xml:space="preserve">Sustainable Material Sourcing:</w:t>
      </w:r>
      <w:r>
        <w:t xml:space="preserve"> </w:t>
      </w:r>
      <w:r>
        <w:t xml:space="preserve">Investigate opportunities for sourcing lower-carbon alternative materials, increasing recycled content in components beyond current levels, or engaging suppliers in decarbonization efforts for high-impact materials like aluminum and batteries.</w:t>
      </w:r>
    </w:p>
    <w:p>
      <w:pPr>
        <w:numPr>
          <w:ilvl w:val="0"/>
          <w:numId w:val="1016"/>
        </w:numPr>
        <w:pStyle w:val="Compact"/>
      </w:pPr>
      <w:r>
        <w:rPr>
          <w:bCs/>
          <w:b/>
        </w:rPr>
        <w:t xml:space="preserve">Strengthen Circularity:</w:t>
      </w:r>
      <w:r>
        <w:t xml:space="preserve"> </w:t>
      </w:r>
      <w:r>
        <w:t xml:space="preserve">Continue to invest in and expand take-back and recycling programs. Explore design for disassembly, repairability, and remanufacturing to maximize material value retention and further enhance end-of-life credits.</w:t>
      </w:r>
    </w:p>
    <w:p>
      <w:pPr>
        <w:numPr>
          <w:ilvl w:val="0"/>
          <w:numId w:val="1016"/>
        </w:numPr>
        <w:pStyle w:val="Compact"/>
      </w:pPr>
      <w:r>
        <w:rPr>
          <w:bCs/>
          <w:b/>
        </w:rPr>
        <w:t xml:space="preserve">Supply Chain Engagement:</w:t>
      </w:r>
      <w:r>
        <w:t xml:space="preserve"> </w:t>
      </w:r>
      <w:r>
        <w:t xml:space="preserve">Collaborate with suppliers to understand and reduce their Scope 1 and Scope 2 emissions, particularly for high-emission components or processes.</w: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xlqdnroyxr</dc:title>
  <dc:creator/>
  <dc:description>High-detail Product Carbon Footprint (PCF) analysis for product xlqdnroyxr, adhering to GHG Protocol and 2026 LSR update, performed by Senior Sustainability Consultant hwwufqrkvi for company ltsvwqgtyr.</dc:description>
  <dc:language>en</dc:language>
  <cp:keywords/>
  <dcterms:created xsi:type="dcterms:W3CDTF">2026-07-14T23:51:39Z</dcterms:created>
  <dcterms:modified xsi:type="dcterms:W3CDTF">2026-07-14T23:51:39Z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