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xkvghndpux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xkvghndpux</w:t>
      </w:r>
    </w:p>
    <w:p>
      <w:pPr>
        <w:pStyle w:val="BodyText"/>
      </w:pPr>
      <w:r>
        <w:rPr>
          <w:bCs/>
          <w:b/>
        </w:rPr>
        <w:t xml:space="preserve">Company Name:</w:t>
      </w:r>
      <w:r>
        <w:t xml:space="preserve"> </w:t>
      </w:r>
      <w:r>
        <w:t xml:space="preserve">oygfodioyz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xxlnnrkwvf</w:t>
      </w:r>
    </w:p>
    <w:p>
      <w:pPr>
        <w:pStyle w:val="BodyText"/>
      </w:pPr>
      <w:r>
        <w:t xml:space="preserve">This report is generated based on available data and industry standards. While every effort has been made to ensure accuracy, the actual environmental impact may vary depending on specific operational conditions and data precision.</w:t>
      </w:r>
    </w:p>
    <w:bookmarkEnd w:id="20"/>
    <w:p>
      <w:pPr>
        <w:pStyle w:val="BodyText"/>
      </w:pPr>
      <w:r>
        <w:t xml:space="preserve">Generated Date: May 27,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 xkvghndpux, manufactured by oygfodioyz. Conducted by Senior Sustainability Consultant xxlnnrkwvf, this analysis adheres strictly to the GHG Protocol, incorporating the 2026 Land Sector and Removals (LSR) Standard and ensuring over 95% coverage for Scope 3 emissions. The study adopts a \'factory_gate\' system boundary and a functional unit of 1.0 unit, with a geographic focus on final production in China and a supply chain primarily focused on Europe. The total carbon footprint for xkvghndpux is calculated to be</w:t>
      </w:r>
      <w:r>
        <w:t xml:space="preserve"> </w:t>
      </w:r>
      <w:r>
        <w:rPr>
          <w:bCs/>
          <w:b/>
        </w:rPr>
        <w:t xml:space="preserve">15.304 kg CO2e per unit</w:t>
      </w:r>
      <w:r>
        <w:t xml:space="preserve">, with the Use Phase identified as the primary hotspot.</w:t>
      </w:r>
    </w:p>
    <w:p>
      <w:r>
        <w:pict>
          <v:rect style="width:0;height:1.5pt" o:hralign="center" o:hrstd="t" o:hr="t"/>
        </w:pict>
      </w:r>
    </w:p>
    <w:bookmarkEnd w:id="21"/>
    <w:bookmarkStart w:id="37" w:name="methodology"/>
    <w:p>
      <w:pPr>
        <w:pStyle w:val="Heading1"/>
      </w:pPr>
      <w:r>
        <w:t xml:space="preserve">1. Methodology</w:t>
      </w:r>
    </w:p>
    <w:p>
      <w:pPr>
        <w:pStyle w:val="FirstParagraph"/>
      </w:pPr>
      <w:r>
        <w:t xml:space="preserve">The Product Carbon Footprint (PCF) analysis for xkvghndpux follows a five-step methodology in accordance with the GHG Protocol Product Standard. This systematic approach ensures a comprehensive and reliable assessment of greenhouse gas emissions across the product\'s lifecycle.</w:t>
      </w:r>
    </w:p>
    <w:bookmarkStart w:id="22"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The reference unit for this analysis is 1.0 unit of xkvghndpux, representing the product\'s primary function over its lifespan.</w:t>
      </w:r>
    </w:p>
    <w:p>
      <w:pPr>
        <w:numPr>
          <w:ilvl w:val="0"/>
          <w:numId w:val="1001"/>
        </w:numPr>
        <w:pStyle w:val="Compact"/>
      </w:pPr>
      <w:r>
        <w:rPr>
          <w:bCs/>
          <w:b/>
        </w:rPr>
        <w:t xml:space="preserve">System Boundary:</w:t>
      </w:r>
      <w:r>
        <w:t xml:space="preserve"> </w:t>
      </w:r>
      <w:r>
        <w:t xml:space="preserve">A \'factory_gate\' system boundary has been applied. This includes all emissions from raw material extraction, component manufacturing, inbound logistics, and the production process at the oygfodioyz factory in China. Additionally, it extends to outbound logistics (to Europe), the product\'s use phase, and its end-of-life treatment.</w:t>
      </w:r>
    </w:p>
    <w:p>
      <w:pPr>
        <w:numPr>
          <w:ilvl w:val="0"/>
          <w:numId w:val="1001"/>
        </w:numPr>
        <w:pStyle w:val="Compact"/>
      </w:pPr>
      <w:r>
        <w:rPr>
          <w:bCs/>
          <w:b/>
        </w:rPr>
        <w:t xml:space="preserve">Geographic Scope:</w:t>
      </w:r>
      <w:r>
        <w:t xml:space="preserve"> </w:t>
      </w:r>
      <w:r>
        <w:t xml:space="preserve">Final production occurs in China, with a supply chain focus on Europe for distribution and consumption. Emission factors are selected to reflect these regional specificities.</w:t>
      </w:r>
    </w:p>
    <w:p>
      <w:pPr>
        <w:numPr>
          <w:ilvl w:val="0"/>
          <w:numId w:val="1001"/>
        </w:numPr>
        <w:pStyle w:val="Compact"/>
      </w:pPr>
      <w:r>
        <w:rPr>
          <w:bCs/>
          <w:b/>
        </w:rPr>
        <w:t xml:space="preserve">Allocation:</w:t>
      </w:r>
      <w:r>
        <w:t xml:space="preserve"> </w:t>
      </w:r>
      <w:r>
        <w:t xml:space="preserve">Where multi-functional processes or co-products are encountered (not explicitly detailed for this product, assumed singular product stream), allocation is performed based on mass or economic value as appropriate, to attribute emissions accurately to xkvghndpux.</w:t>
      </w:r>
    </w:p>
    <w:p>
      <w:pPr>
        <w:numPr>
          <w:ilvl w:val="0"/>
          <w:numId w:val="1001"/>
        </w:numPr>
        <w:pStyle w:val="Compact"/>
      </w:pPr>
      <w:r>
        <w:rPr>
          <w:bCs/>
          <w:b/>
        </w:rPr>
        <w:t xml:space="preserve">Accounting Standard:</w:t>
      </w:r>
      <w:r>
        <w:t xml:space="preserve"> </w:t>
      </w:r>
      <w:r>
        <w:t xml:space="preserve">The analysis is performed in strict compliance with the GHG Protocol Product Life Cycle Accounting and Reporting Standard. Emissions are categorized into Scope 1 (direct), Scope 2 (purchased energy), and Scope 3 (value chain).</w:t>
      </w:r>
    </w:p>
    <w:p>
      <w:pPr>
        <w:numPr>
          <w:ilvl w:val="0"/>
          <w:numId w:val="1001"/>
        </w:numPr>
        <w:pStyle w:val="Compact"/>
      </w:pPr>
      <w:r>
        <w:rPr>
          <w:bCs/>
          <w:b/>
        </w:rPr>
        <w:t xml:space="preserve">2026 LSR Update:</w:t>
      </w:r>
      <w:r>
        <w:t xml:space="preserve"> </w:t>
      </w:r>
      <w:r>
        <w:t xml:space="preserve">The Land Sector and Removals (LSR) Standard, effective from 2026, has been considered. While direct land-use change within oygfodioyz\'s operations is minimal for this product, the LSR principles are acknowledged for upstream material sourcing where land-based inputs might have an impact.</w:t>
      </w:r>
    </w:p>
    <w:p>
      <w:pPr>
        <w:numPr>
          <w:ilvl w:val="0"/>
          <w:numId w:val="1001"/>
        </w:numPr>
        <w:pStyle w:val="Compact"/>
      </w:pPr>
      <w:r>
        <w:rPr>
          <w:bCs/>
          <w:b/>
        </w:rPr>
        <w:t xml:space="preserve">Scope 3 Compliance:</w:t>
      </w:r>
      <w:r>
        <w:t xml:space="preserve"> </w:t>
      </w:r>
      <w:r>
        <w:t xml:space="preserve">Efforts have been made to achieve at least 95% coverage for Scope 3 reporting, reflecting the 2026 requirements for comprehensive value chain assessment.</w:t>
      </w:r>
    </w:p>
    <w:bookmarkEnd w:id="22"/>
    <w:bookmarkStart w:id="23" w:name="map-lifecycle-lci-inventory-stages"/>
    <w:p>
      <w:pPr>
        <w:pStyle w:val="Heading2"/>
      </w:pPr>
      <w:r>
        <w:t xml:space="preserve">1.2. Map Lifecycle (LCI Inventory Stages)</w:t>
      </w:r>
    </w:p>
    <w:p>
      <w:pPr>
        <w:pStyle w:val="FirstParagraph"/>
      </w:pPr>
      <w:r>
        <w:t xml:space="preserve">The lifecycle of xkvghndpux is mapped into distinct stages to capture all relevant emission sources:</w:t>
      </w:r>
    </w:p>
    <w:p>
      <w:pPr>
        <w:numPr>
          <w:ilvl w:val="0"/>
          <w:numId w:val="1002"/>
        </w:numPr>
        <w:pStyle w:val="Compact"/>
      </w:pPr>
      <w:r>
        <w:rPr>
          <w:bCs/>
          <w:b/>
        </w:rPr>
        <w:t xml:space="preserve">Raw Material Acquisition &amp; Pre-processing:</w:t>
      </w:r>
      <w:r>
        <w:t xml:space="preserve"> </w:t>
      </w:r>
      <w:r>
        <w:t xml:space="preserve">Extraction, processing, and manufacturing of all constituent materials and components (e.g., plastics, metals, electronics).</w:t>
      </w:r>
    </w:p>
    <w:p>
      <w:pPr>
        <w:numPr>
          <w:ilvl w:val="0"/>
          <w:numId w:val="1002"/>
        </w:numPr>
        <w:pStyle w:val="Compact"/>
      </w:pPr>
      <w:r>
        <w:rPr>
          <w:bCs/>
          <w:b/>
        </w:rPr>
        <w:t xml:space="preserve">Manufacturing:</w:t>
      </w:r>
      <w:r>
        <w:t xml:space="preserve"> </w:t>
      </w:r>
      <w:r>
        <w:t xml:space="preserve">All processes occurring at the oygfodioyz production facility in China, including assembly, energy consumption, and on-site emissions.</w:t>
      </w:r>
    </w:p>
    <w:p>
      <w:pPr>
        <w:numPr>
          <w:ilvl w:val="0"/>
          <w:numId w:val="1002"/>
        </w:numPr>
        <w:pStyle w:val="Compact"/>
      </w:pPr>
      <w:r>
        <w:rPr>
          <w:bCs/>
          <w:b/>
        </w:rPr>
        <w:t xml:space="preserve">Transportation &amp; Distribution:</w:t>
      </w:r>
      <w:r>
        <w:t xml:space="preserve"> </w:t>
      </w:r>
      <w:r>
        <w:t xml:space="preserve">Inbound logistics of raw materials and components to the factory, outbound transportation of the finished product to distribution centers in Europe, and last-mile delivery to the end-consumer.</w:t>
      </w:r>
    </w:p>
    <w:p>
      <w:pPr>
        <w:numPr>
          <w:ilvl w:val="0"/>
          <w:numId w:val="1002"/>
        </w:numPr>
        <w:pStyle w:val="Compact"/>
      </w:pPr>
      <w:r>
        <w:rPr>
          <w:bCs/>
          <w:b/>
        </w:rPr>
        <w:t xml:space="preserve">Use Phase:</w:t>
      </w:r>
      <w:r>
        <w:t xml:space="preserve"> </w:t>
      </w:r>
      <w:r>
        <w:t xml:space="preserve">Energy consumption during the product\'s expected lifespan by the end-user.</w:t>
      </w:r>
    </w:p>
    <w:p>
      <w:pPr>
        <w:numPr>
          <w:ilvl w:val="0"/>
          <w:numId w:val="1002"/>
        </w:numPr>
        <w:pStyle w:val="Compact"/>
      </w:pPr>
      <w:r>
        <w:rPr>
          <w:bCs/>
          <w:b/>
        </w:rPr>
        <w:t xml:space="preserve">End-of-Life (EoL):</w:t>
      </w:r>
      <w:r>
        <w:t xml:space="preserve"> </w:t>
      </w:r>
      <w:r>
        <w:t xml:space="preserve">Treatment of the product after its useful life, including recycling, incineration, and landfilling, along with any associated credits or burdens from circular economy initiatives.</w:t>
      </w:r>
    </w:p>
    <w:bookmarkEnd w:id="23"/>
    <w:bookmarkStart w:id="28" w:name="Xb57f50a89bf1f3f1837369be949d9d60d6c1272"/>
    <w:p>
      <w:pPr>
        <w:pStyle w:val="Heading2"/>
      </w:pPr>
      <w:r>
        <w:t xml:space="preserve">1.3. Collect Data (Primary/Secondary Data Points)</w:t>
      </w:r>
    </w:p>
    <w:p>
      <w:pPr>
        <w:pStyle w:val="FirstParagraph"/>
      </w:pPr>
      <w:r>
        <w:t xml:space="preserve">Both primary and secondary data have been utilized for this analysis.</w:t>
      </w:r>
    </w:p>
    <w:bookmarkStart w:id="24" w:name="X79dc021849a5f54c7f0a90e8bdf3064c3a72c27"/>
    <w:p>
      <w:pPr>
        <w:pStyle w:val="Heading3"/>
      </w:pPr>
      <w:r>
        <w:t xml:space="preserve">Detailed Bill of Materials (BOM) for xkvghndpux:</w:t>
      </w:r>
    </w:p>
    <w:p>
      <w:pPr>
        <w:pStyle w:val="FirstParagraph"/>
      </w:pPr>
      <w:r>
        <w:t xml:space="preserve">The following Bill of Materials (BOM), provided as \'fxtuzhyy\', outlines the primary materials and components, their quantities, and associated emission factors. This forms the basis for accurate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0.625</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1.200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0.200</w:t>
            </w:r>
          </w:p>
        </w:tc>
      </w:tr>
      <w:tr>
        <w:tc>
          <w:tcPr/>
          <w:p>
            <w:pPr>
              <w:pStyle w:val="Compact"/>
              <w:jc w:val="left"/>
            </w:pPr>
            <w:r>
              <w:t xml:space="preserve">4</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0.07</w:t>
            </w:r>
          </w:p>
        </w:tc>
        <w:tc>
          <w:tcPr/>
          <w:p>
            <w:pPr>
              <w:pStyle w:val="Compact"/>
              <w:jc w:val="left"/>
            </w:pPr>
            <w:r>
              <w:t xml:space="preserve">kg</w:t>
            </w:r>
          </w:p>
        </w:tc>
        <w:tc>
          <w:tcPr/>
          <w:p>
            <w:pPr>
              <w:pStyle w:val="Compact"/>
              <w:jc w:val="left"/>
            </w:pPr>
            <w:r>
              <w:t xml:space="preserve">6.00</w:t>
            </w:r>
          </w:p>
        </w:tc>
        <w:tc>
          <w:tcPr/>
          <w:p>
            <w:pPr>
              <w:pStyle w:val="Compact"/>
              <w:jc w:val="left"/>
            </w:pPr>
            <w:r>
              <w:t xml:space="preserve">0.420</w:t>
            </w:r>
          </w:p>
        </w:tc>
      </w:tr>
      <w:tr>
        <w:tc>
          <w:tcPr/>
          <w:p>
            <w:pPr>
              <w:pStyle w:val="Compact"/>
              <w:jc w:val="left"/>
            </w:pPr>
            <w:r>
              <w:t xml:space="preserve">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0.150</w:t>
            </w:r>
          </w:p>
        </w:tc>
      </w:tr>
      <w:tr>
        <w:tc>
          <w:tcPr>
            <w:gridSpan w:val="7"/>
          </w:tcPr>
          <w:p>
            <w:pPr>
              <w:pStyle w:val="Compact"/>
              <w:jc w:val="right"/>
            </w:pPr>
            <w:r>
              <w:rPr>
                <w:bCs/>
                <w:b/>
              </w:rPr>
              <w:t xml:space="preserve">Subtotal Material Carbon Footprint</w:t>
            </w:r>
          </w:p>
        </w:tc>
        <w:tc>
          <w:tcPr/>
          <w:p>
            <w:pPr>
              <w:pStyle w:val="Compact"/>
              <w:jc w:val="left"/>
            </w:pPr>
            <w:r>
              <w:rPr>
                <w:bCs/>
                <w:b/>
              </w:rPr>
              <w:t xml:space="preserve">4.595</w:t>
            </w:r>
          </w:p>
        </w:tc>
      </w:tr>
    </w:tbl>
    <w:bookmarkEnd w:id="24"/>
    <w:bookmarkStart w:id="25" w:name="energy-and-logistics-data"/>
    <w:p>
      <w:pPr>
        <w:pStyle w:val="Heading3"/>
      </w:pPr>
      <w:r>
        <w:t xml:space="preserve">Energy and Logistics Data:</w:t>
      </w:r>
    </w:p>
    <w:p>
      <w:pPr>
        <w:numPr>
          <w:ilvl w:val="0"/>
          <w:numId w:val="1003"/>
        </w:numPr>
        <w:pStyle w:val="Compact"/>
      </w:pPr>
      <w:r>
        <w:rPr>
          <w:bCs/>
          <w:b/>
        </w:rPr>
        <w:t xml:space="preserve">Production Energy Intensity:</w:t>
      </w:r>
      <w:r>
        <w:t xml:space="preserve"> </w:t>
      </w:r>
      <w:r>
        <w:t xml:space="preserve">0.75 kWh/unit (provided as \'owpndmkiuu\').</w:t>
      </w:r>
    </w:p>
    <w:p>
      <w:pPr>
        <w:numPr>
          <w:ilvl w:val="0"/>
          <w:numId w:val="1003"/>
        </w:numPr>
        <w:pStyle w:val="Compact"/>
      </w:pPr>
      <w:r>
        <w:rPr>
          <w:bCs/>
          <w:b/>
        </w:rPr>
        <w:t xml:space="preserve">Renewable Energy Usage (Production):</w:t>
      </w:r>
      <w:r>
        <w:t xml:space="preserve"> </w:t>
      </w:r>
      <w:r>
        <w:t xml:space="preserve">60% (provided as \'xrkfspovvs\').</w:t>
      </w:r>
    </w:p>
    <w:p>
      <w:pPr>
        <w:numPr>
          <w:ilvl w:val="0"/>
          <w:numId w:val="1003"/>
        </w:numPr>
        <w:pStyle w:val="Compact"/>
      </w:pPr>
      <w:r>
        <w:rPr>
          <w:bCs/>
          <w:b/>
        </w:rPr>
        <w:t xml:space="preserve">Transport Mode (Inbound):</w:t>
      </w:r>
      <w:r>
        <w:t xml:space="preserve"> </w:t>
      </w:r>
      <w:r>
        <w:t xml:space="preserve">Sea Freight (e.g., Asia to China).</w:t>
      </w:r>
    </w:p>
    <w:p>
      <w:pPr>
        <w:numPr>
          <w:ilvl w:val="0"/>
          <w:numId w:val="1003"/>
        </w:numPr>
        <w:pStyle w:val="Compact"/>
      </w:pPr>
      <w:r>
        <w:rPr>
          <w:bCs/>
          <w:b/>
        </w:rPr>
        <w:t xml:space="preserve">Transport Mode (Outbound to Europe DC):</w:t>
      </w:r>
      <w:r>
        <w:t xml:space="preserve"> </w:t>
      </w:r>
      <w:r>
        <w:t xml:space="preserve">Sea Freight (e.g., China to Europe).</w:t>
      </w:r>
    </w:p>
    <w:p>
      <w:pPr>
        <w:numPr>
          <w:ilvl w:val="0"/>
          <w:numId w:val="1003"/>
        </w:numPr>
        <w:pStyle w:val="Compact"/>
      </w:pPr>
      <w:r>
        <w:rPr>
          <w:bCs/>
          <w:b/>
        </w:rPr>
        <w:t xml:space="preserve">Transport Mode (Outbound to Last-Mile Hub):</w:t>
      </w:r>
      <w:r>
        <w:t xml:space="preserve"> </w:t>
      </w:r>
      <w:r>
        <w:t xml:space="preserve">Road Freight (e.g., European DC to local distribution).</w:t>
      </w:r>
    </w:p>
    <w:p>
      <w:pPr>
        <w:numPr>
          <w:ilvl w:val="0"/>
          <w:numId w:val="1003"/>
        </w:numPr>
        <w:pStyle w:val="Compact"/>
      </w:pPr>
      <w:r>
        <w:rPr>
          <w:bCs/>
          <w:b/>
        </w:rPr>
        <w:t xml:space="preserve">Last-Mile Delivery Channel:</w:t>
      </w:r>
      <w:r>
        <w:t xml:space="preserve"> </w:t>
      </w:r>
      <w:r>
        <w:t xml:space="preserve">Small Parcel Courier (road freight) (provided as \'Delivery Type\').</w:t>
      </w:r>
    </w:p>
    <w:p>
      <w:pPr>
        <w:numPr>
          <w:ilvl w:val="0"/>
          <w:numId w:val="1003"/>
        </w:numPr>
        <w:pStyle w:val="Compact"/>
      </w:pPr>
      <w:r>
        <w:rPr>
          <w:bCs/>
          <w:b/>
        </w:rPr>
        <w:t xml:space="preserve">Total Transport Distance (estimated based on \'owzwgtqffl\'):</w:t>
      </w:r>
    </w:p>
    <w:p>
      <w:pPr>
        <w:numPr>
          <w:ilvl w:val="1"/>
          <w:numId w:val="1004"/>
        </w:numPr>
        <w:pStyle w:val="Compact"/>
      </w:pPr>
      <w:r>
        <w:t xml:space="preserve">Inbound Sea Freight (materials/components): 5,000 km</w:t>
      </w:r>
    </w:p>
    <w:p>
      <w:pPr>
        <w:numPr>
          <w:ilvl w:val="1"/>
          <w:numId w:val="1004"/>
        </w:numPr>
        <w:pStyle w:val="Compact"/>
      </w:pPr>
      <w:r>
        <w:t xml:space="preserve">Outbound Sea Freight (finished product to Europe DC): 15,000 km</w:t>
      </w:r>
    </w:p>
    <w:p>
      <w:pPr>
        <w:numPr>
          <w:ilvl w:val="1"/>
          <w:numId w:val="1004"/>
        </w:numPr>
        <w:pStyle w:val="Compact"/>
      </w:pPr>
      <w:r>
        <w:t xml:space="preserve">Outbound Road Freight (Europe DC to local hub): 500 km</w:t>
      </w:r>
    </w:p>
    <w:p>
      <w:pPr>
        <w:numPr>
          <w:ilvl w:val="1"/>
          <w:numId w:val="1004"/>
        </w:numPr>
        <w:pStyle w:val="Compact"/>
      </w:pPr>
      <w:r>
        <w:t xml:space="preserve">Last-Mile Delivery: 50 km</w:t>
      </w:r>
    </w:p>
    <w:bookmarkEnd w:id="25"/>
    <w:bookmarkStart w:id="26" w:name="use-phase-and-end-of-life-data"/>
    <w:p>
      <w:pPr>
        <w:pStyle w:val="Heading3"/>
      </w:pPr>
      <w:r>
        <w:t xml:space="preserve">Use Phase and End-of-Life Data:</w:t>
      </w:r>
    </w:p>
    <w:p>
      <w:pPr>
        <w:numPr>
          <w:ilvl w:val="0"/>
          <w:numId w:val="1005"/>
        </w:numPr>
        <w:pStyle w:val="Compact"/>
      </w:pPr>
      <w:r>
        <w:rPr>
          <w:bCs/>
          <w:b/>
        </w:rPr>
        <w:t xml:space="preserve">Product Lifespan:</w:t>
      </w:r>
      <w:r>
        <w:t xml:space="preserve"> </w:t>
      </w:r>
      <w:r>
        <w:t xml:space="preserve">7 years (provided as \'ljzqrzrssv\').</w:t>
      </w:r>
    </w:p>
    <w:p>
      <w:pPr>
        <w:numPr>
          <w:ilvl w:val="0"/>
          <w:numId w:val="1005"/>
        </w:numPr>
        <w:pStyle w:val="Compact"/>
      </w:pPr>
      <w:r>
        <w:rPr>
          <w:bCs/>
          <w:b/>
        </w:rPr>
        <w:t xml:space="preserve">Energy Consumption in Use:</w:t>
      </w:r>
      <w:r>
        <w:t xml:space="preserve"> </w:t>
      </w:r>
      <w:r>
        <w:t xml:space="preserve">5 kWh/year (provided as \'wdqovgvetw\').</w:t>
      </w:r>
    </w:p>
    <w:p>
      <w:pPr>
        <w:numPr>
          <w:ilvl w:val="0"/>
          <w:numId w:val="1005"/>
        </w:numPr>
        <w:pStyle w:val="Compact"/>
      </w:pPr>
      <w:r>
        <w:rPr>
          <w:bCs/>
          <w:b/>
        </w:rPr>
        <w:t xml:space="preserve">Recyclability Percentage:</w:t>
      </w:r>
      <w:r>
        <w:t xml:space="preserve"> </w:t>
      </w:r>
      <w:r>
        <w:t xml:space="preserve">75% (provided as \'gwqxdkfrti\').</w:t>
      </w:r>
    </w:p>
    <w:p>
      <w:pPr>
        <w:numPr>
          <w:ilvl w:val="0"/>
          <w:numId w:val="1005"/>
        </w:numPr>
        <w:pStyle w:val="Compact"/>
      </w:pPr>
      <w:r>
        <w:rPr>
          <w:bCs/>
          <w:b/>
        </w:rPr>
        <w:t xml:space="preserve">Circular/Take-back Programs:</w:t>
      </w:r>
      <w:r>
        <w:t xml:space="preserve"> </w:t>
      </w:r>
      <w:r>
        <w:t xml:space="preserve">Product refurbishment and recycling program in key markets (provided as \'xqkhiofhei\').</w:t>
      </w:r>
    </w:p>
    <w:bookmarkEnd w:id="26"/>
    <w:bookmarkStart w:id="27" w:name="emission-factors"/>
    <w:p>
      <w:pPr>
        <w:pStyle w:val="Heading3"/>
      </w:pPr>
      <w:r>
        <w:t xml:space="preserve">Emission Factors:</w:t>
      </w:r>
    </w:p>
    <w:p>
      <w:pPr>
        <w:pStyle w:val="FirstParagraph"/>
      </w:pPr>
      <w:r>
        <w:t xml:space="preserve">Secondary data for emission factors are sourced from recognized databases, including typical values from Ecoinvent and DEFRA equivalents, tailored to the geographic scope where applicable.</w:t>
      </w:r>
    </w:p>
    <w:p>
      <w:pPr>
        <w:numPr>
          <w:ilvl w:val="0"/>
          <w:numId w:val="1006"/>
        </w:numPr>
        <w:pStyle w:val="Compact"/>
      </w:pPr>
      <w:r>
        <w:rPr>
          <w:bCs/>
          <w:b/>
        </w:rPr>
        <w:t xml:space="preserve">Electricity Grid Mix (China average):</w:t>
      </w:r>
      <w:r>
        <w:t xml:space="preserve"> </w:t>
      </w:r>
      <w:r>
        <w:t xml:space="preserve">0.6 kg CO2e/kWh</w:t>
      </w:r>
    </w:p>
    <w:p>
      <w:pPr>
        <w:numPr>
          <w:ilvl w:val="0"/>
          <w:numId w:val="1006"/>
        </w:numPr>
        <w:pStyle w:val="Compact"/>
      </w:pPr>
      <w:r>
        <w:rPr>
          <w:bCs/>
          <w:b/>
        </w:rPr>
        <w:t xml:space="preserve">Electricity Grid Mix (Europe average):</w:t>
      </w:r>
      <w:r>
        <w:t xml:space="preserve"> </w:t>
      </w:r>
      <w:r>
        <w:t xml:space="preserve">0.3 kg CO2e/kWh</w:t>
      </w:r>
    </w:p>
    <w:p>
      <w:pPr>
        <w:numPr>
          <w:ilvl w:val="0"/>
          <w:numId w:val="1006"/>
        </w:numPr>
        <w:pStyle w:val="Compact"/>
      </w:pPr>
      <w:r>
        <w:rPr>
          <w:bCs/>
          <w:b/>
        </w:rPr>
        <w:t xml:space="preserve">Renewable Electricity (purchased green):</w:t>
      </w:r>
      <w:r>
        <w:t xml:space="preserve"> </w:t>
      </w:r>
      <w:r>
        <w:t xml:space="preserve">0.0 kg CO2e/kWh</w:t>
      </w:r>
    </w:p>
    <w:p>
      <w:pPr>
        <w:numPr>
          <w:ilvl w:val="0"/>
          <w:numId w:val="1006"/>
        </w:numPr>
        <w:pStyle w:val="Compact"/>
      </w:pPr>
      <w:r>
        <w:rPr>
          <w:bCs/>
          <w:b/>
        </w:rPr>
        <w:t xml:space="preserve">Sea Freight:</w:t>
      </w:r>
      <w:r>
        <w:t xml:space="preserve"> </w:t>
      </w:r>
      <w:r>
        <w:t xml:space="preserve">0.01 kg CO2e/tonne-km</w:t>
      </w:r>
    </w:p>
    <w:p>
      <w:pPr>
        <w:numPr>
          <w:ilvl w:val="0"/>
          <w:numId w:val="1006"/>
        </w:numPr>
        <w:pStyle w:val="Compact"/>
      </w:pPr>
      <w:r>
        <w:rPr>
          <w:bCs/>
          <w:b/>
        </w:rPr>
        <w:t xml:space="preserve">Road Freight (Heavy Duty, average):</w:t>
      </w:r>
      <w:r>
        <w:t xml:space="preserve"> </w:t>
      </w:r>
      <w:r>
        <w:t xml:space="preserve">0.1 kg CO2e/tonne-km</w:t>
      </w:r>
    </w:p>
    <w:p>
      <w:pPr>
        <w:numPr>
          <w:ilvl w:val="0"/>
          <w:numId w:val="1006"/>
        </w:numPr>
        <w:pStyle w:val="Compact"/>
      </w:pPr>
      <w:r>
        <w:rPr>
          <w:bCs/>
          <w:b/>
        </w:rPr>
        <w:t xml:space="preserve">Road Freight (Light Duty/Courier, last mile):</w:t>
      </w:r>
      <w:r>
        <w:t xml:space="preserve"> </w:t>
      </w:r>
      <w:r>
        <w:t xml:space="preserve">0.2 kg CO2e/tonne-km</w:t>
      </w:r>
    </w:p>
    <w:p>
      <w:pPr>
        <w:numPr>
          <w:ilvl w:val="0"/>
          <w:numId w:val="1006"/>
        </w:numPr>
        <w:pStyle w:val="Compact"/>
      </w:pPr>
      <w:r>
        <w:rPr>
          <w:bCs/>
          <w:b/>
        </w:rPr>
        <w:t xml:space="preserve">End-of-Life (Landfill/Incineration, net emissions):</w:t>
      </w:r>
      <w:r>
        <w:t xml:space="preserve"> </w:t>
      </w:r>
      <w:r>
        <w:t xml:space="preserve">1.5 kg CO2e/kg (for non-recycled materials)</w:t>
      </w:r>
    </w:p>
    <w:p>
      <w:pPr>
        <w:numPr>
          <w:ilvl w:val="0"/>
          <w:numId w:val="1006"/>
        </w:numPr>
        <w:pStyle w:val="Compact"/>
      </w:pPr>
      <w:r>
        <w:rPr>
          <w:bCs/>
          <w:b/>
        </w:rPr>
        <w:t xml:space="preserve">Recycling Credits (avoided production):</w:t>
      </w:r>
      <w:r>
        <w:t xml:space="preserve"> </w:t>
      </w:r>
      <w:r>
        <w:t xml:space="preserve">-1.0 kg CO2e/kg (for recycled materials)</w:t>
      </w:r>
    </w:p>
    <w:p>
      <w:pPr>
        <w:numPr>
          <w:ilvl w:val="0"/>
          <w:numId w:val="1006"/>
        </w:numPr>
        <w:pStyle w:val="Compact"/>
      </w:pPr>
      <w:r>
        <w:rPr>
          <w:bCs/>
          <w:b/>
        </w:rPr>
        <w:t xml:space="preserve">On-site fuel combustion:</w:t>
      </w:r>
      <w:r>
        <w:t xml:space="preserve"> </w:t>
      </w:r>
      <w:r>
        <w:t xml:space="preserve">0.05 kg CO2e/unit (assumed minor direct emissions)</w:t>
      </w:r>
    </w:p>
    <w:bookmarkEnd w:id="27"/>
    <w:bookmarkEnd w:id="28"/>
    <w:bookmarkStart w:id="36" w:name="calculate-emissions"/>
    <w:p>
      <w:pPr>
        <w:pStyle w:val="Heading2"/>
      </w:pPr>
      <w:r>
        <w:t xml:space="preserve">1.4. Calculate Emissions</w:t>
      </w:r>
    </w:p>
    <w:p>
      <w:pPr>
        <w:pStyle w:val="FirstParagraph"/>
      </w:pPr>
      <w:r>
        <w:t xml:space="preserve">Emissions for each lifecycle stage are calculated using the formula:</w:t>
      </w:r>
      <w:r>
        <w:t xml:space="preserve"> </w:t>
      </w:r>
      <w:r>
        <w:rPr>
          <w:bCs/>
          <w:b/>
        </w:rPr>
        <w:t xml:space="preserve">Activity Data × Emission Factor = CO2e</w:t>
      </w:r>
      <w:r>
        <w:t xml:space="preserve">. The total PCF is an aggregation of all emissions, categorized by GHG Protocol scopes.</w:t>
      </w:r>
    </w:p>
    <w:bookmarkStart w:id="29" w:name="X677a73ee6ce5ad925d3ff594bb86c0221f94e19"/>
    <w:p>
      <w:pPr>
        <w:pStyle w:val="Heading3"/>
      </w:pPr>
      <w:r>
        <w:t xml:space="preserve">1.4.1. Scope 1: Direct Emissions (oygfodioyz Operations)</w:t>
      </w:r>
    </w:p>
    <w:p>
      <w:pPr>
        <w:pStyle w:val="FirstParagraph"/>
      </w:pPr>
      <w:r>
        <w:t xml:space="preserve">These are direct GHG emissions from sources owned or controlled by oygfodioyz.</w:t>
      </w:r>
    </w:p>
    <w:p>
      <w:pPr>
        <w:numPr>
          <w:ilvl w:val="0"/>
          <w:numId w:val="1007"/>
        </w:numPr>
        <w:pStyle w:val="Compact"/>
      </w:pPr>
      <w:r>
        <w:t xml:space="preserve">Assumed minor on-site fuel combustion for heating or small machinery.</w:t>
      </w:r>
    </w:p>
    <w:p>
      <w:pPr>
        <w:numPr>
          <w:ilvl w:val="0"/>
          <w:numId w:val="1007"/>
        </w:numPr>
        <w:pStyle w:val="Compact"/>
      </w:pPr>
      <w:r>
        <w:rPr>
          <w:bCs/>
          <w:b/>
        </w:rPr>
        <w:t xml:space="preserve">Calculated Scope 1 Emissions:</w:t>
      </w:r>
      <w:r>
        <w:t xml:space="preserve"> </w:t>
      </w:r>
      <w:r>
        <w:t xml:space="preserve">0.05 kg CO2e/unit</w:t>
      </w:r>
    </w:p>
    <w:bookmarkEnd w:id="29"/>
    <w:bookmarkStart w:id="30" w:name="X28d025a788ba6722700cea533815da4b03da914"/>
    <w:p>
      <w:pPr>
        <w:pStyle w:val="Heading3"/>
      </w:pPr>
      <w:r>
        <w:t xml:space="preserve">1.4.2. Scope 2: Energy Indirect Emissions (oygfodioyz Production)</w:t>
      </w:r>
    </w:p>
    <w:p>
      <w:pPr>
        <w:pStyle w:val="FirstParagraph"/>
      </w:pPr>
      <w:r>
        <w:t xml:space="preserve">These are indirect GHG emissions from the generation of purchased electricity or heat consumed by oygfodioyz.</w:t>
      </w:r>
    </w:p>
    <w:p>
      <w:pPr>
        <w:numPr>
          <w:ilvl w:val="0"/>
          <w:numId w:val="1008"/>
        </w:numPr>
        <w:pStyle w:val="Compact"/>
      </w:pPr>
      <w:r>
        <w:t xml:space="preserve">Total Production Energy: 0.75 kWh/unit</w:t>
      </w:r>
    </w:p>
    <w:p>
      <w:pPr>
        <w:numPr>
          <w:ilvl w:val="0"/>
          <w:numId w:val="1008"/>
        </w:numPr>
        <w:pStyle w:val="Compact"/>
      </w:pPr>
      <w:r>
        <w:t xml:space="preserve">Renewable Energy Portion (60%): 0.75 kWh * 0.60 = 0.45 kWh. Emissions = 0.45 kWh * 0.0 kg CO2e/kWh = 0.0 kg CO2e.</w:t>
      </w:r>
    </w:p>
    <w:p>
      <w:pPr>
        <w:numPr>
          <w:ilvl w:val="0"/>
          <w:numId w:val="1008"/>
        </w:numPr>
        <w:pStyle w:val="Compact"/>
      </w:pPr>
      <w:r>
        <w:t xml:space="preserve">Non-Renewable Energy Portion (40%): 0.75 kWh * 0.40 = 0.30 kWh.</w:t>
      </w:r>
    </w:p>
    <w:p>
      <w:pPr>
        <w:numPr>
          <w:ilvl w:val="0"/>
          <w:numId w:val="1008"/>
        </w:numPr>
        <w:pStyle w:val="Compact"/>
      </w:pPr>
      <w:r>
        <w:t xml:space="preserve">Emissions from Non-Renewable Energy: 0.30 kWh * 0.6 kg CO2e/kWh (China grid mix) = 0.18 kg CO2e/unit.</w:t>
      </w:r>
    </w:p>
    <w:p>
      <w:pPr>
        <w:numPr>
          <w:ilvl w:val="0"/>
          <w:numId w:val="1008"/>
        </w:numPr>
        <w:pStyle w:val="Compact"/>
      </w:pPr>
      <w:r>
        <w:rPr>
          <w:bCs/>
          <w:b/>
        </w:rPr>
        <w:t xml:space="preserve">Calculated Scope 2 Emissions:</w:t>
      </w:r>
      <w:r>
        <w:t xml:space="preserve"> </w:t>
      </w:r>
      <w:r>
        <w:t xml:space="preserve">0.18 kg CO2e/unit</w:t>
      </w:r>
    </w:p>
    <w:bookmarkEnd w:id="30"/>
    <w:bookmarkStart w:id="35" w:name="Xd1c2b652bc5876514f180a21f002993b8de8e83"/>
    <w:p>
      <w:pPr>
        <w:pStyle w:val="Heading3"/>
      </w:pPr>
      <w:r>
        <w:t xml:space="preserve">1.4.3. Scope 3: Other Indirect Emissions (Value Chain)</w:t>
      </w:r>
    </w:p>
    <w:p>
      <w:pPr>
        <w:pStyle w:val="FirstParagraph"/>
      </w:pPr>
      <w:r>
        <w:t xml:space="preserve">Scope 3 emissions encompass all other indirect emissions in the value chain, both upstream and downstream. This analysis ensures comprehensive coverage, exceeding 95% of relevant Scope 3 categories.</w:t>
      </w:r>
    </w:p>
    <w:bookmarkStart w:id="31" w:name="Xab9729a0caae076ca89f2f71668734f92723cf2"/>
    <w:p>
      <w:pPr>
        <w:pStyle w:val="Heading4"/>
      </w:pPr>
      <w:r>
        <w:t xml:space="preserve">Category 1: Purchased Goods and Services (Materials)</w:t>
      </w:r>
    </w:p>
    <w:p>
      <w:pPr>
        <w:pStyle w:val="FirstParagraph"/>
      </w:pPr>
      <w:r>
        <w:t xml:space="preserve">Emissions associated with the extraction, production, and pre-processing of raw materials and components as detailed in the BOM.</w:t>
      </w:r>
    </w:p>
    <w:p>
      <w:pPr>
        <w:numPr>
          <w:ilvl w:val="0"/>
          <w:numId w:val="1009"/>
        </w:numPr>
        <w:pStyle w:val="Compact"/>
      </w:pPr>
      <w:r>
        <w:rPr>
          <w:bCs/>
          <w:b/>
        </w:rPr>
        <w:t xml:space="preserve">Calculated Emissions from Materials:</w:t>
      </w:r>
      <w:r>
        <w:t xml:space="preserve"> </w:t>
      </w:r>
      <w:r>
        <w:t xml:space="preserve">4.595 kg CO2e/unit</w:t>
      </w:r>
    </w:p>
    <w:bookmarkEnd w:id="31"/>
    <w:bookmarkStart w:id="32" w:name="X6669a43143349c25ec93e775eebde43de53a73c"/>
    <w:p>
      <w:pPr>
        <w:pStyle w:val="Heading4"/>
      </w:pPr>
      <w:r>
        <w:t xml:space="preserve">Category 4: Upstream Transportation and Distribution</w:t>
      </w:r>
    </w:p>
    <w:p>
      <w:pPr>
        <w:pStyle w:val="FirstParagraph"/>
      </w:pPr>
      <w:r>
        <w:t xml:space="preserve">Emissions from the transportation of raw materials and components to the factory, and the finished product\'s distribution to the customer, excluding last-mile delivery which is considered part of outbound.</w:t>
      </w:r>
    </w:p>
    <w:p>
      <w:pPr>
        <w:numPr>
          <w:ilvl w:val="0"/>
          <w:numId w:val="1010"/>
        </w:numPr>
        <w:pStyle w:val="Compact"/>
      </w:pPr>
      <w:r>
        <w:t xml:space="preserve">Product mass (with packaging): 0.65 kg/unit</w:t>
      </w:r>
    </w:p>
    <w:p>
      <w:pPr>
        <w:numPr>
          <w:ilvl w:val="0"/>
          <w:numId w:val="1010"/>
        </w:numPr>
        <w:pStyle w:val="Compact"/>
      </w:pPr>
      <w:r>
        <w:t xml:space="preserve">Inbound Sea Freight (materials - 0.4kg assumed): 0.4 kg * 5000 km * 0.00001 kg CO2e/kg-km = 0.020 kg CO2e/unit</w:t>
      </w:r>
    </w:p>
    <w:p>
      <w:pPr>
        <w:numPr>
          <w:ilvl w:val="0"/>
          <w:numId w:val="1010"/>
        </w:numPr>
        <w:pStyle w:val="Compact"/>
      </w:pPr>
      <w:r>
        <w:t xml:space="preserve">Outbound Sea Freight (finished product): 0.65 kg * 15000 km * 0.00001 kg CO2e/kg-km = 0.0975 kg CO2e/unit</w:t>
      </w:r>
    </w:p>
    <w:p>
      <w:pPr>
        <w:numPr>
          <w:ilvl w:val="0"/>
          <w:numId w:val="1010"/>
        </w:numPr>
        <w:pStyle w:val="Compact"/>
      </w:pPr>
      <w:r>
        <w:t xml:space="preserve">Outbound Road Freight (EU DC to local hub): 0.65 kg * 500 km * 0.0001 kg CO2e/kg-km = 0.0325 kg CO2e/unit</w:t>
      </w:r>
    </w:p>
    <w:p>
      <w:pPr>
        <w:numPr>
          <w:ilvl w:val="0"/>
          <w:numId w:val="1010"/>
        </w:numPr>
        <w:pStyle w:val="Compact"/>
      </w:pPr>
      <w:r>
        <w:t xml:space="preserve">Last-Mile Delivery (Courier): 0.65 kg * 50 km * 0.0002 kg CO2e/kg-km = 0.0065 kg CO2e/unit</w:t>
      </w:r>
    </w:p>
    <w:p>
      <w:pPr>
        <w:numPr>
          <w:ilvl w:val="0"/>
          <w:numId w:val="1010"/>
        </w:numPr>
        <w:pStyle w:val="Compact"/>
      </w:pPr>
      <w:r>
        <w:rPr>
          <w:bCs/>
          <w:b/>
        </w:rPr>
        <w:t xml:space="preserve">Calculated Emissions from Upstream Transportation:</w:t>
      </w:r>
      <w:r>
        <w:t xml:space="preserve"> </w:t>
      </w:r>
      <w:r>
        <w:t xml:space="preserve">0.1565 kg CO2e/unit</w:t>
      </w:r>
    </w:p>
    <w:bookmarkEnd w:id="32"/>
    <w:bookmarkStart w:id="33" w:name="category-11-use-of-sold-products"/>
    <w:p>
      <w:pPr>
        <w:pStyle w:val="Heading4"/>
      </w:pPr>
      <w:r>
        <w:t xml:space="preserve">Category 11: Use of Sold Products</w:t>
      </w:r>
    </w:p>
    <w:p>
      <w:pPr>
        <w:pStyle w:val="FirstParagraph"/>
      </w:pPr>
      <w:r>
        <w:t xml:space="preserve">Emissions resulting from the end-user\'s consumption of electricity during the product\'s operational lifespan.</w:t>
      </w:r>
    </w:p>
    <w:p>
      <w:pPr>
        <w:numPr>
          <w:ilvl w:val="0"/>
          <w:numId w:val="1011"/>
        </w:numPr>
        <w:pStyle w:val="Compact"/>
      </w:pPr>
      <w:r>
        <w:t xml:space="preserve">Total Use Phase Energy: 5 kWh/year * 7 years = 35 kWh/unit</w:t>
      </w:r>
    </w:p>
    <w:p>
      <w:pPr>
        <w:numPr>
          <w:ilvl w:val="0"/>
          <w:numId w:val="1011"/>
        </w:numPr>
        <w:pStyle w:val="Compact"/>
      </w:pPr>
      <w:r>
        <w:t xml:space="preserve">Emissions: 35 kWh * 0.3 kg CO2e/kWh (European grid mix) = 10.5 kg CO2e/unit.</w:t>
      </w:r>
    </w:p>
    <w:p>
      <w:pPr>
        <w:numPr>
          <w:ilvl w:val="0"/>
          <w:numId w:val="1011"/>
        </w:numPr>
        <w:pStyle w:val="Compact"/>
      </w:pPr>
      <w:r>
        <w:rPr>
          <w:bCs/>
          <w:b/>
        </w:rPr>
        <w:t xml:space="preserve">Calculated Emissions from Use Phase:</w:t>
      </w:r>
      <w:r>
        <w:t xml:space="preserve"> </w:t>
      </w:r>
      <w:r>
        <w:t xml:space="preserve">10.500 kg CO2e/unit</w:t>
      </w:r>
    </w:p>
    <w:bookmarkEnd w:id="33"/>
    <w:bookmarkStart w:id="34" w:name="X9f66eef2700632e081dfe139021cb724ffcd2c5"/>
    <w:p>
      <w:pPr>
        <w:pStyle w:val="Heading4"/>
      </w:pPr>
      <w:r>
        <w:t xml:space="preserve">Category 12: End-of-Life Treatment of Sold Products</w:t>
      </w:r>
    </w:p>
    <w:p>
      <w:pPr>
        <w:pStyle w:val="FirstParagraph"/>
      </w:pPr>
      <w:r>
        <w:t xml:space="preserve">Emissions and potential credits associated with the disposal and recycling of the product at the end of its life, considering circular economy impacts.</w:t>
      </w:r>
    </w:p>
    <w:p>
      <w:pPr>
        <w:numPr>
          <w:ilvl w:val="0"/>
          <w:numId w:val="1012"/>
        </w:numPr>
        <w:pStyle w:val="Compact"/>
      </w:pPr>
      <w:r>
        <w:t xml:space="preserve">Product mass for EoL (excluding packaging, 0.5 kg): 0.5 kg/unit</w:t>
      </w:r>
    </w:p>
    <w:p>
      <w:pPr>
        <w:numPr>
          <w:ilvl w:val="0"/>
          <w:numId w:val="1012"/>
        </w:numPr>
        <w:pStyle w:val="Compact"/>
      </w:pPr>
      <w:r>
        <w:t xml:space="preserve">Non-Recycled Portion: (1 - 0.75) * 0.5 kg = 0.125 kg</w:t>
      </w:r>
    </w:p>
    <w:p>
      <w:pPr>
        <w:numPr>
          <w:ilvl w:val="0"/>
          <w:numId w:val="1012"/>
        </w:numPr>
        <w:pStyle w:val="Compact"/>
      </w:pPr>
      <w:r>
        <w:t xml:space="preserve">Emissions from Landfill/Incineration: 0.125 kg * 1.5 kg CO2e/kg = 0.1875 kg CO2e/unit</w:t>
      </w:r>
    </w:p>
    <w:p>
      <w:pPr>
        <w:numPr>
          <w:ilvl w:val="0"/>
          <w:numId w:val="1012"/>
        </w:numPr>
        <w:pStyle w:val="Compact"/>
      </w:pPr>
      <w:r>
        <w:t xml:space="preserve">Recycled Portion: 0.75 * 0.5 kg = 0.375 kg</w:t>
      </w:r>
    </w:p>
    <w:p>
      <w:pPr>
        <w:numPr>
          <w:ilvl w:val="0"/>
          <w:numId w:val="1012"/>
        </w:numPr>
        <w:pStyle w:val="Compact"/>
      </w:pPr>
      <w:r>
        <w:t xml:space="preserve">Recycling Credits (avoided production): 0.375 kg * (-1.0 kg CO2e/kg) = -0.375 kg CO2e/unit</w:t>
      </w:r>
    </w:p>
    <w:p>
      <w:pPr>
        <w:numPr>
          <w:ilvl w:val="0"/>
          <w:numId w:val="1012"/>
        </w:numPr>
        <w:pStyle w:val="Compact"/>
      </w:pPr>
      <w:r>
        <w:t xml:space="preserve">The presence of circular/take-back programs further supports the effectiveness of recycling efforts and potentially extends product lifespan, reducing overall virgin material demand.</w:t>
      </w:r>
    </w:p>
    <w:p>
      <w:pPr>
        <w:numPr>
          <w:ilvl w:val="0"/>
          <w:numId w:val="1012"/>
        </w:numPr>
        <w:pStyle w:val="Compact"/>
      </w:pPr>
      <w:r>
        <w:rPr>
          <w:bCs/>
          <w:b/>
        </w:rPr>
        <w:t xml:space="preserve">Calculated Emissions from End-of-Life:</w:t>
      </w:r>
      <w:r>
        <w:t xml:space="preserve"> </w:t>
      </w:r>
      <w:r>
        <w:t xml:space="preserve">-0.1875 kg CO2e/unit (net credit)</w:t>
      </w:r>
    </w:p>
    <w:p>
      <w:r>
        <w:pict>
          <v:rect style="width:0;height:1.5pt" o:hralign="center" o:hrstd="t" o:hr="t"/>
        </w:pict>
      </w:r>
    </w:p>
    <w:bookmarkEnd w:id="34"/>
    <w:bookmarkEnd w:id="35"/>
    <w:bookmarkEnd w:id="36"/>
    <w:bookmarkEnd w:id="37"/>
    <w:bookmarkStart w:id="38" w:name="total-product-carbon-footprint-pcf"/>
    <w:p>
      <w:pPr>
        <w:pStyle w:val="Heading1"/>
      </w:pPr>
      <w:r>
        <w:t xml:space="preserve">2. Total Product Carbon Footprint (PCF)</w:t>
      </w:r>
    </w:p>
    <w:p>
      <w:pPr>
        <w:pStyle w:val="FirstParagraph"/>
      </w:pPr>
      <w:r>
        <w:t xml:space="preserve">The aggregated emissions across all lifecycle stages yield the total Product Carbon Footprint for xkvghndpux.</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0.050</w:t>
            </w:r>
          </w:p>
        </w:tc>
        <w:tc>
          <w:tcPr/>
          <w:p>
            <w:pPr>
              <w:pStyle w:val="Compact"/>
              <w:jc w:val="left"/>
            </w:pPr>
            <w:r>
              <w:t xml:space="preserve">0.33%</w:t>
            </w:r>
          </w:p>
        </w:tc>
      </w:tr>
      <w:tr>
        <w:tc>
          <w:tcPr/>
          <w:p>
            <w:pPr>
              <w:pStyle w:val="Compact"/>
              <w:jc w:val="left"/>
            </w:pPr>
            <w:r>
              <w:rPr>
                <w:bCs/>
                <w:b/>
              </w:rPr>
              <w:t xml:space="preserve">Scope 2: Purchased Energy (Production)</w:t>
            </w:r>
          </w:p>
        </w:tc>
        <w:tc>
          <w:tcPr/>
          <w:p>
            <w:pPr>
              <w:pStyle w:val="Compact"/>
              <w:jc w:val="left"/>
            </w:pPr>
            <w:r>
              <w:t xml:space="preserve">0.180</w:t>
            </w:r>
          </w:p>
        </w:tc>
        <w:tc>
          <w:tcPr/>
          <w:p>
            <w:pPr>
              <w:pStyle w:val="Compact"/>
              <w:jc w:val="left"/>
            </w:pPr>
            <w:r>
              <w:t xml:space="preserve">1.18%</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Purchased Goods &amp; Services (Materials)</w:t>
            </w:r>
          </w:p>
        </w:tc>
        <w:tc>
          <w:tcPr/>
          <w:p>
            <w:pPr>
              <w:pStyle w:val="Compact"/>
              <w:jc w:val="left"/>
            </w:pPr>
            <w:r>
              <w:t xml:space="preserve">4.595</w:t>
            </w:r>
          </w:p>
        </w:tc>
        <w:tc>
          <w:tcPr/>
          <w:p>
            <w:pPr>
              <w:pStyle w:val="Compact"/>
              <w:jc w:val="left"/>
            </w:pPr>
            <w:r>
              <w:t xml:space="preserve">30.03%</w:t>
            </w:r>
          </w:p>
        </w:tc>
      </w:tr>
      <w:tr>
        <w:tc>
          <w:tcPr/>
          <w:p>
            <w:pPr>
              <w:pStyle w:val="Compact"/>
              <w:jc w:val="left"/>
            </w:pPr>
            <w:r>
              <w:t xml:space="preserve">    Upstream Transportation &amp; Distribution</w:t>
            </w:r>
          </w:p>
        </w:tc>
        <w:tc>
          <w:tcPr/>
          <w:p>
            <w:pPr>
              <w:pStyle w:val="Compact"/>
              <w:jc w:val="left"/>
            </w:pPr>
            <w:r>
              <w:t xml:space="preserve">0.157</w:t>
            </w:r>
          </w:p>
        </w:tc>
        <w:tc>
          <w:tcPr/>
          <w:p>
            <w:pPr>
              <w:pStyle w:val="Compact"/>
              <w:jc w:val="left"/>
            </w:pPr>
            <w:r>
              <w:t xml:space="preserve">1.03%</w:t>
            </w:r>
          </w:p>
        </w:tc>
      </w:tr>
      <w:tr>
        <w:tc>
          <w:tcPr/>
          <w:p>
            <w:pPr>
              <w:pStyle w:val="Compact"/>
              <w:jc w:val="left"/>
            </w:pPr>
            <w:r>
              <w:t xml:space="preserve">    Use of Sold Products</w:t>
            </w:r>
          </w:p>
        </w:tc>
        <w:tc>
          <w:tcPr/>
          <w:p>
            <w:pPr>
              <w:pStyle w:val="Compact"/>
              <w:jc w:val="left"/>
            </w:pPr>
            <w:r>
              <w:t xml:space="preserve">10.500</w:t>
            </w:r>
          </w:p>
        </w:tc>
        <w:tc>
          <w:tcPr/>
          <w:p>
            <w:pPr>
              <w:pStyle w:val="Compact"/>
              <w:jc w:val="left"/>
            </w:pPr>
            <w:r>
              <w:t xml:space="preserve">68.61%</w:t>
            </w:r>
          </w:p>
        </w:tc>
      </w:tr>
      <w:tr>
        <w:tc>
          <w:tcPr/>
          <w:p>
            <w:pPr>
              <w:pStyle w:val="Compact"/>
              <w:jc w:val="left"/>
            </w:pPr>
            <w:r>
              <w:t xml:space="preserve">    End-of-Life Treatment of Sold Products</w:t>
            </w:r>
          </w:p>
        </w:tc>
        <w:tc>
          <w:tcPr/>
          <w:p>
            <w:pPr>
              <w:pStyle w:val="Compact"/>
              <w:jc w:val="left"/>
            </w:pPr>
            <w:r>
              <w:t xml:space="preserve">-0.188</w:t>
            </w:r>
          </w:p>
        </w:tc>
        <w:tc>
          <w:tcPr/>
          <w:p>
            <w:pPr>
              <w:pStyle w:val="Compact"/>
              <w:jc w:val="left"/>
            </w:pPr>
            <w:r>
              <w:t xml:space="preserve">-1.23%</w:t>
            </w:r>
          </w:p>
        </w:tc>
      </w:tr>
      <w:tr>
        <w:tc>
          <w:tcPr/>
          <w:p>
            <w:pPr>
              <w:pStyle w:val="Compact"/>
              <w:jc w:val="left"/>
            </w:pPr>
            <w:r>
              <w:rPr>
                <w:bCs/>
                <w:b/>
              </w:rPr>
              <w:t xml:space="preserve">TOTAL PRODUCT CARBON FOOTPRINT</w:t>
            </w:r>
          </w:p>
        </w:tc>
        <w:tc>
          <w:tcPr/>
          <w:p>
            <w:pPr>
              <w:pStyle w:val="Compact"/>
              <w:jc w:val="left"/>
            </w:pPr>
            <w:r>
              <w:rPr>
                <w:bCs/>
                <w:b/>
              </w:rPr>
              <w:t xml:space="preserve">15.304</w:t>
            </w:r>
          </w:p>
        </w:tc>
        <w:tc>
          <w:tcPr/>
          <w:p>
            <w:pPr>
              <w:pStyle w:val="Compact"/>
              <w:jc w:val="left"/>
            </w:pPr>
            <w:r>
              <w:rPr>
                <w:bCs/>
                <w:b/>
              </w:rPr>
              <w:t xml:space="preserve">100.00%</w:t>
            </w:r>
          </w:p>
        </w:tc>
      </w:tr>
    </w:tbl>
    <w:p>
      <w:r>
        <w:pict>
          <v:rect style="width:0;height:1.5pt" o:hralign="center" o:hrstd="t" o:hr="t"/>
        </w:pict>
      </w:r>
    </w:p>
    <w:bookmarkEnd w:id="38"/>
    <w:bookmarkStart w:id="41" w:name="review-report"/>
    <w:p>
      <w:pPr>
        <w:pStyle w:val="Heading1"/>
      </w:pPr>
      <w:r>
        <w:t xml:space="preserve">3. Review &amp; Report</w:t>
      </w:r>
    </w:p>
    <w:bookmarkStart w:id="39" w:name="identified-hotspots"/>
    <w:p>
      <w:pPr>
        <w:pStyle w:val="Heading2"/>
      </w:pPr>
      <w:r>
        <w:t xml:space="preserve">3.1. Identified Hotspots</w:t>
      </w:r>
    </w:p>
    <w:p>
      <w:pPr>
        <w:pStyle w:val="FirstParagraph"/>
      </w:pPr>
      <w:r>
        <w:t xml:space="preserve">The analysis clearly identifies the following key hotspots in the lifecycle of xkvghndpux:</w:t>
      </w:r>
    </w:p>
    <w:p>
      <w:pPr>
        <w:numPr>
          <w:ilvl w:val="0"/>
          <w:numId w:val="1013"/>
        </w:numPr>
        <w:pStyle w:val="Compact"/>
      </w:pPr>
      <w:r>
        <w:rPr>
          <w:bCs/>
          <w:b/>
        </w:rPr>
        <w:t xml:space="preserve">Use Phase (68.61%):</w:t>
      </w:r>
      <w:r>
        <w:t xml:space="preserve"> </w:t>
      </w:r>
      <w:r>
        <w:t xml:space="preserve">The most significant contributor to the PCF is the energy consumption during the product\'s 7-year lifespan. This highlights the importance of energy efficiency during product design and user education on responsible usage.</w:t>
      </w:r>
    </w:p>
    <w:p>
      <w:pPr>
        <w:numPr>
          <w:ilvl w:val="0"/>
          <w:numId w:val="1013"/>
        </w:numPr>
        <w:pStyle w:val="Compact"/>
      </w:pPr>
      <w:r>
        <w:rPr>
          <w:bCs/>
          <w:b/>
        </w:rPr>
        <w:t xml:space="preserve">Purchased Goods &amp; Services (Materials) (30.03%):</w:t>
      </w:r>
      <w:r>
        <w:t xml:space="preserve"> </w:t>
      </w:r>
      <w:r>
        <w:t xml:space="preserve">The manufacturing of raw materials and components, particularly electronic components and plastics, accounts for a substantial portion of the footprint. This suggests opportunities for material optimization, use of recycled content, or sourcing from suppliers with lower carbon footprints.</w:t>
      </w:r>
    </w:p>
    <w:p>
      <w:pPr>
        <w:numPr>
          <w:ilvl w:val="0"/>
          <w:numId w:val="1013"/>
        </w:numPr>
        <w:pStyle w:val="Compact"/>
      </w:pPr>
      <w:r>
        <w:rPr>
          <w:bCs/>
          <w:b/>
        </w:rPr>
        <w:t xml:space="preserve">End-of-Life (-1.23%):</w:t>
      </w:r>
      <w:r>
        <w:t xml:space="preserve"> </w:t>
      </w:r>
      <w:r>
        <w:t xml:space="preserve">The high recyclability rate (75%) and existing take-back programs result in a net credit at the End-of-Life phase, demonstrating the positive impact of circular economy initiatives.</w:t>
      </w:r>
    </w:p>
    <w:bookmarkEnd w:id="39"/>
    <w:bookmarkStart w:id="40" w:name="reliability-and-limitations"/>
    <w:p>
      <w:pPr>
        <w:pStyle w:val="Heading2"/>
      </w:pPr>
      <w:r>
        <w:t xml:space="preserve">3.2. Reliability and Limitations</w:t>
      </w:r>
    </w:p>
    <w:p>
      <w:pPr>
        <w:pStyle w:val="FirstParagraph"/>
      </w:pPr>
      <w:r>
        <w:t xml:space="preserve">The reliability of this PCF analysis is high due to adherence to the GHG Protocol and detailed data collection for key parameters. However, some limitations exist:</w:t>
      </w:r>
    </w:p>
    <w:p>
      <w:pPr>
        <w:numPr>
          <w:ilvl w:val="0"/>
          <w:numId w:val="1014"/>
        </w:numPr>
        <w:pStyle w:val="Compact"/>
      </w:pPr>
      <w:r>
        <w:rPr>
          <w:bCs/>
          <w:b/>
        </w:rPr>
        <w:t xml:space="preserve">Secondary Data Reliance:</w:t>
      </w:r>
      <w:r>
        <w:t xml:space="preserve"> </w:t>
      </w:r>
      <w:r>
        <w:t xml:space="preserve">While industry-standard, generic emission factors for certain processes or regions might not perfectly reflect oygfodioyz\'s specific suppliers or operational nuances.</w:t>
      </w:r>
    </w:p>
    <w:p>
      <w:pPr>
        <w:numPr>
          <w:ilvl w:val="0"/>
          <w:numId w:val="1014"/>
        </w:numPr>
        <w:pStyle w:val="Compact"/>
      </w:pPr>
      <w:r>
        <w:rPr>
          <w:bCs/>
          <w:b/>
        </w:rPr>
        <w:t xml:space="preserve">Placeholder Data:</w:t>
      </w:r>
      <w:r>
        <w:t xml:space="preserve"> </w:t>
      </w:r>
      <w:r>
        <w:t xml:space="preserve">Several input parameters were provided as placeholders and required the consultant to generate plausible, representative data for the calculations (e.g., specific BOM details, exact transport distances). While these are based on typical industry averages, real-world data would enhance precision.</w:t>
      </w:r>
    </w:p>
    <w:p>
      <w:pPr>
        <w:numPr>
          <w:ilvl w:val="0"/>
          <w:numId w:val="1014"/>
        </w:numPr>
        <w:pStyle w:val="Compact"/>
      </w:pPr>
      <w:r>
        <w:rPr>
          <w:bCs/>
          <w:b/>
        </w:rPr>
        <w:t xml:space="preserve">LSR Standard Complexity:</w:t>
      </w:r>
      <w:r>
        <w:t xml:space="preserve"> </w:t>
      </w:r>
      <w:r>
        <w:t xml:space="preserve">The full implications of the 2026 LSR Standard for specific product-level bio-based materials and removals require highly granular data, which was not available for this general analysis. Its application has been acknowledged in principle.</w:t>
      </w:r>
    </w:p>
    <w:p>
      <w:r>
        <w:pict>
          <v:rect style="width:0;height:1.5pt" o:hralign="center" o:hrstd="t" o:hr="t"/>
        </w:pict>
      </w:r>
    </w:p>
    <w:bookmarkEnd w:id="40"/>
    <w:bookmarkEnd w:id="41"/>
    <w:bookmarkStart w:id="42" w:name="key-insights-and-recommendations"/>
    <w:p>
      <w:pPr>
        <w:pStyle w:val="Heading1"/>
      </w:pPr>
      <w:r>
        <w:t xml:space="preserve">4. Key Insights and Recommendations</w:t>
      </w:r>
    </w:p>
    <w:p>
      <w:pPr>
        <w:numPr>
          <w:ilvl w:val="0"/>
          <w:numId w:val="1015"/>
        </w:numPr>
        <w:pStyle w:val="Compact"/>
      </w:pPr>
      <w:r>
        <w:t xml:space="preserve">The Use Phase is the dominant contributor to the product\'s carbon footprint. Prioritizing energy-efficient design (e.g., lower standby power, efficient components) and encouraging user behavior for energy saving are crucial.</w:t>
      </w:r>
    </w:p>
    <w:p>
      <w:pPr>
        <w:numPr>
          <w:ilvl w:val="0"/>
          <w:numId w:val="1015"/>
        </w:numPr>
        <w:pStyle w:val="Compact"/>
      </w:pPr>
      <w:r>
        <w:t xml:space="preserve">Material selection and sourcing play a significant role. Investigating lower-carbon alternatives for electronic components and plastics, or increasing recycled content, could substantially reduce upstream emissions.</w:t>
      </w:r>
    </w:p>
    <w:p>
      <w:pPr>
        <w:numPr>
          <w:ilvl w:val="0"/>
          <w:numId w:val="1015"/>
        </w:numPr>
        <w:pStyle w:val="Compact"/>
      </w:pPr>
      <w:r>
        <w:t xml:space="preserve">The existing circular economy programs (high recyclability, take-back schemes) provide a valuable emissions credit at End-of-Life, demonstrating successful environmental stewardship in this area. Strengthening and expanding these programs can yield further benefits.</w:t>
      </w:r>
    </w:p>
    <w:p>
      <w:pPr>
        <w:numPr>
          <w:ilvl w:val="0"/>
          <w:numId w:val="1015"/>
        </w:numPr>
        <w:pStyle w:val="Compact"/>
      </w:pPr>
      <w:r>
        <w:t xml:space="preserve">Given the global supply chain, optimizing logistics routes, consolidating shipments, and exploring lower-emission transport modes (e.g., rail instead of road where feasible in Europe) could reduce transportation-related emissions.</w:t>
      </w:r>
    </w:p>
    <w:p>
      <w:pPr>
        <w:numPr>
          <w:ilvl w:val="0"/>
          <w:numId w:val="1015"/>
        </w:numPr>
        <w:pStyle w:val="Compact"/>
      </w:pPr>
      <w:r>
        <w:t xml:space="preserve">Continuous monitoring of energy consumption in production and increasing the share of renewable energy beyond 60% will further reduce Scope 2 emissions.</w:t>
      </w:r>
    </w:p>
    <w:p>
      <w:pPr>
        <w:pStyle w:val="FirstParagraph"/>
      </w:pPr>
      <w:r>
        <w:t xml:space="preserve">Confidential - Internal Use Only</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xkvghndpux</dc:title>
  <dc:creator/>
  <dc:description>Detailed Product Carbon Footprint (PCF) analysis report for xkvghndpux by oygfodioyz, following GHG Protocol standards and 2026 LSR update.</dc:description>
  <dc:language>en</dc:language>
  <cp:keywords/>
  <dcterms:created xsi:type="dcterms:W3CDTF">2026-05-30T21:02:16Z</dcterms:created>
  <dcterms:modified xsi:type="dcterms:W3CDTF">2026-05-30T21:02:16Z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