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xkprdmipkx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xkprdmipkx</w:t>
      </w:r>
    </w:p>
    <w:p>
      <w:pPr>
        <w:pStyle w:val="BodyText"/>
      </w:pPr>
      <w:r>
        <w:t xml:space="preserve">Company: zzglefwmhl</w:t>
      </w:r>
    </w:p>
    <w:p>
      <w:pPr>
        <w:pStyle w:val="BodyText"/>
      </w:pPr>
      <w:r>
        <w:t xml:space="preserve">Senior Sustainability Consultant: qnddunoydu</w:t>
      </w:r>
    </w:p>
    <w:p>
      <w:pPr>
        <w:pStyle w:val="BodyText"/>
      </w:pPr>
      <w:r>
        <w:t xml:space="preserve">Accounting Standard: GHG Protocol</w:t>
      </w:r>
    </w:p>
    <w:p>
      <w:pPr>
        <w:pStyle w:val="BodyText"/>
      </w:pPr>
      <w:r>
        <w:t xml:space="preserve">This report is generated based on available data and industry standards, aiming to provide a high-level assessment of the product\'s carbon footprint.</w:t>
      </w:r>
    </w:p>
    <w:bookmarkEnd w:id="20"/>
    <w:bookmarkStart w:id="45" w:name="Xef761b1b1412c84fe6e1b3f75ab7abeed99739c"/>
    <w:p>
      <w:pPr>
        <w:pStyle w:val="Heading1"/>
      </w:pPr>
      <w:r>
        <w:t xml:space="preserve">Product Carbon Footprint Analysis Report: xkprdmipkx</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"xkprdmipkx", manufactured by zzglefwmhl. Conducted by Senior Sustainability Consultant qnddunoydu, this analysis adheres strictly to the GHG Protocol, including considerations from the 2026 Land Sector and Removals (LSR) Standard and aims for at least 95% Scope 3 coverage. The PCF quantifies the total greenhouse gas (GHG) emissions associated with the product\'s lifecycle, from raw material extraction to end-of-life, providing critical insights into environmental impacts and identifying emission hotspots for future reduction strategies.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xkprdmipkx follows a rigorous lifecycle assessment (LCA) approach, guided by the principles and requirements of the GHG Protocol. The assessment covers all relevant stages of the product\'s life cycle to provide a comprehensive view of its environmental impact.</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xkprdmipkx</w:t>
      </w:r>
      <w:r>
        <w:t xml:space="preserve">. This unit serves as the basis for all calculations and comparisons, ensuring consistency and comparability of the results.</w:t>
      </w:r>
    </w:p>
    <w:bookmarkEnd w:id="22"/>
    <w:bookmarkStart w:id="23" w:name="X64c2d8a02ab932598b87b1bb0ab6d5fe32b5247"/>
    <w:p>
      <w:pPr>
        <w:pStyle w:val="Heading3"/>
      </w:pPr>
      <w:r>
        <w:t xml:space="preserve">1.2. System Boundary: Cradle-to-Gate (factory_gate) with Downstream Considerations</w:t>
      </w:r>
    </w:p>
    <w:p>
      <w:pPr>
        <w:pStyle w:val="FirstParagraph"/>
      </w:pPr>
      <w:r>
        <w:t xml:space="preserve">The primary system boundary for this analysis is</w:t>
      </w:r>
      <w:r>
        <w:t xml:space="preserve"> </w:t>
      </w:r>
      <w:r>
        <w:rPr>
          <w:bCs/>
          <w:b/>
        </w:rPr>
        <w:t xml:space="preserve">factory_gate</w:t>
      </w:r>
      <w:r>
        <w:t xml:space="preserve">, encompassing raw material acquisition, manufacturing, and transport to the factory gate. However, to provide a more holistic view in line with GHG Protocol Scope 3 requirements and to identify further reduction opportunities, key downstream activities including transport to customer, the use phase, and end-of-life treatment are also included in the calculations. This approach enables categorization of emissions into Scope 1, 2, and 3, consistent with the GHG Protocol.</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This includes the categorization of emissions into:</w:t>
      </w:r>
    </w:p>
    <w:p>
      <w:pPr>
        <w:numPr>
          <w:ilvl w:val="0"/>
          <w:numId w:val="1002"/>
        </w:numPr>
        <w:pStyle w:val="Compact"/>
      </w:pPr>
      <w:r>
        <w:rPr>
          <w:bCs/>
          <w:b/>
        </w:rPr>
        <w:t xml:space="preserve">Scope 1:</w:t>
      </w:r>
      <w:r>
        <w:t xml:space="preserve"> </w:t>
      </w:r>
      <w:r>
        <w:t xml:space="preserve">Direct GHG emissions from sources owned or controlled by zzglefwmhl.</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zzglefwmhl.</w:t>
      </w:r>
    </w:p>
    <w:p>
      <w:pPr>
        <w:numPr>
          <w:ilvl w:val="0"/>
          <w:numId w:val="1002"/>
        </w:numPr>
        <w:pStyle w:val="Compact"/>
      </w:pPr>
      <w:r>
        <w:rPr>
          <w:bCs/>
          <w:b/>
        </w:rPr>
        <w:t xml:space="preserve">Scope 3:</w:t>
      </w:r>
      <w:r>
        <w:t xml:space="preserve"> </w:t>
      </w:r>
      <w:r>
        <w:t xml:space="preserve">All other indirect GHG emissions that occur in the value chain of zzglefwmhl, both upstream and downstream. This analysis aims for at least 95% coverage for Scope 3 reporting, as per 2026 requirements.</w:t>
      </w:r>
    </w:p>
    <w:p>
      <w:pPr>
        <w:pStyle w:val="FirstParagraph"/>
      </w:pPr>
      <w:r>
        <w:t xml:space="preserve">In adherence to the</w:t>
      </w:r>
      <w:r>
        <w:t xml:space="preserve"> </w:t>
      </w:r>
      <w:r>
        <w:rPr>
          <w:bCs/>
          <w:b/>
        </w:rPr>
        <w:t xml:space="preserve">2026 Land Sector and Removals (LSR) Standard</w:t>
      </w:r>
      <w:r>
        <w:t xml:space="preserve">, potential land-use change impacts and carbon removals are considered where relevant data is available, although specific LSR data for this product is not provided. The analysis acknowledges the importance of integrating such considerations into comprehensive GHG accounting.</w:t>
      </w:r>
    </w:p>
    <w:bookmarkEnd w:id="25"/>
    <w:bookmarkStart w:id="26" w:name="allocation"/>
    <w:p>
      <w:pPr>
        <w:pStyle w:val="Heading3"/>
      </w:pPr>
      <w:r>
        <w:t xml:space="preserve">1.5. Allocation</w:t>
      </w:r>
    </w:p>
    <w:p>
      <w:pPr>
        <w:pStyle w:val="FirstParagraph"/>
      </w:pPr>
      <w:r>
        <w:t xml:space="preserve">Allocation of environmental burdens for co-products or multi-functional processes is applied based on established LCA principles, primarily through physical allocation (e.g., mass) or economic allocation where physical relationships are not appropriate. Specific allocation details for individual processes within the Bill of Materials (BOM) are assumed to be integrated within the provided "Total Carbon" figures.</w:t>
      </w:r>
    </w:p>
    <w:p>
      <w:r>
        <w:pict>
          <v:rect style="width:0;height:1.5pt" o:hralign="center" o:hrstd="t" o:hr="t"/>
        </w:pict>
      </w:r>
    </w:p>
    <w:bookmarkEnd w:id="26"/>
    <w:bookmarkEnd w:id="27"/>
    <w:bookmarkStart w:id="34" w:name="X8640d10399eff6f74357736cb56d1cbb72dfd8b"/>
    <w:p>
      <w:pPr>
        <w:pStyle w:val="Heading2"/>
      </w:pPr>
      <w:r>
        <w:t xml:space="preserve">2. Lifecycle Inventory (LCI) Mapping and Data Collection</w:t>
      </w:r>
    </w:p>
    <w:p>
      <w:pPr>
        <w:pStyle w:val="FirstParagraph"/>
      </w:pPr>
      <w:r>
        <w:t xml:space="preserve">This section outlines the key stages of xkprdmipkx\'s lifecycle and the data collected for each, emphasizing the use of specific parameters provided.</w:t>
      </w:r>
    </w:p>
    <w:bookmarkStart w:id="29" w:name="X003740b0dfc032be4206bbc3b673cba9d8558f9"/>
    <w:p>
      <w:pPr>
        <w:pStyle w:val="Heading3"/>
      </w:pPr>
      <w:r>
        <w:t xml:space="preserve">2.1. Raw Materials Acquisition and Processing (Upstream Scope 3)</w:t>
      </w:r>
    </w:p>
    <w:p>
      <w:pPr>
        <w:pStyle w:val="FirstParagraph"/>
      </w:pPr>
      <w:r>
        <w:t xml:space="preserve">A detailed Bill of Materials (BOM) for xkprdmipkx (segotjzt) was utilized to calculate the high-accuracy material impact. The provided BOM already includes pre-calculated "Total Carbon" values for each item, which are directly used for this assessment. These figures represent the emissions from raw material extraction, processing, and manufacturing of components up to their delivery to the production facility.</w:t>
      </w:r>
    </w:p>
    <w:bookmarkStart w:id="28" w:name="X320ff755da9e5db955e04f378904c84abf722e8"/>
    <w:p>
      <w:pPr>
        <w:pStyle w:val="Heading4"/>
      </w:pPr>
      <w:r>
        <w:t xml:space="preserve">Detailed Bill of Materials (BOM) for xkprdmipkx</w:t>
      </w:r>
    </w:p>
    <w:p>
      <w:pPr>
        <w:pStyle w:val="FirstParagraph"/>
      </w:pPr>
      <w:r>
        <w:t xml:space="preserve">The following table represents a sample structure for the detailed Bill of Materials, incorporating the provided format. The \'Total Carbon\' values are directly used as per instruction.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w:t>
            </w:r>
          </w:p>
        </w:tc>
      </w:tr>
      <w:tr>
        <w:tc>
          <w:tcPr/>
          <w:p>
            <w:pPr>
              <w:pStyle w:val="Compact"/>
              <w:jc w:val="left"/>
            </w:pPr>
            <w:r>
              <w:t xml:space="preserve">F006</w:t>
            </w:r>
          </w:p>
        </w:tc>
        <w:tc>
          <w:tcPr/>
          <w:p>
            <w:pPr>
              <w:pStyle w:val="Compact"/>
              <w:jc w:val="left"/>
            </w:pPr>
            <w:r>
              <w:t xml:space="preserve">Fasteners (Steel)</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r>
        <w:tc>
          <w:tcPr/>
          <w:p>
            <w:pPr>
              <w:pStyle w:val="Compact"/>
              <w:jc w:val="left"/>
            </w:pPr>
            <w:r>
              <w:t xml:space="preserve">P007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28"/>
    <w:bookmarkEnd w:id="29"/>
    <w:bookmarkStart w:id="30" w:name="manufacturing-scope-1-2"/>
    <w:p>
      <w:pPr>
        <w:pStyle w:val="Heading3"/>
      </w:pPr>
      <w:r>
        <w:t xml:space="preserve">2.2. Manufacturing (Scope 1 &amp; 2)</w:t>
      </w:r>
    </w:p>
    <w:p>
      <w:pPr>
        <w:pStyle w:val="FirstParagraph"/>
      </w:pPr>
      <w:r>
        <w:t xml:space="preserve">The production phase of xkprdmipkx occurs in China. Energy consumption during this phase is a key contributor to the product\'s footprint.</w:t>
      </w:r>
    </w:p>
    <w:p>
      <w:pPr>
        <w:numPr>
          <w:ilvl w:val="0"/>
          <w:numId w:val="1003"/>
        </w:numPr>
        <w:pStyle w:val="Compact"/>
      </w:pPr>
      <w:r>
        <w:rPr>
          <w:bCs/>
          <w:b/>
        </w:rPr>
        <w:t xml:space="preserve">Energy Intensity (kWh/unit):</w:t>
      </w:r>
      <w:r>
        <w:t xml:space="preserve"> </w:t>
      </w:r>
      <w:r>
        <w:t xml:space="preserve">15 kWh/unit (swfhkhpymx - assumed for calculation)</w:t>
      </w:r>
    </w:p>
    <w:p>
      <w:pPr>
        <w:numPr>
          <w:ilvl w:val="0"/>
          <w:numId w:val="1003"/>
        </w:numPr>
        <w:pStyle w:val="Compact"/>
      </w:pPr>
      <w:r>
        <w:rPr>
          <w:bCs/>
          <w:b/>
        </w:rPr>
        <w:t xml:space="preserve">Renewable Energy Usage:</w:t>
      </w:r>
      <w:r>
        <w:t xml:space="preserve"> </w:t>
      </w:r>
      <w:r>
        <w:t xml:space="preserve">60% (veleumjxrd - assumed for calculation)</w:t>
      </w:r>
    </w:p>
    <w:p>
      <w:pPr>
        <w:numPr>
          <w:ilvl w:val="0"/>
          <w:numId w:val="1003"/>
        </w:numPr>
        <w:pStyle w:val="Compact"/>
      </w:pPr>
      <w:r>
        <w:rPr>
          <w:bCs/>
          <w:b/>
        </w:rPr>
        <w:t xml:space="preserve">Grid Electricity Emission Factor (China):</w:t>
      </w:r>
      <w:r>
        <w:t xml:space="preserve"> </w:t>
      </w:r>
      <w:r>
        <w:t xml:space="preserve">0.6205 kg CO2e/kWh (national average for 2023)</w:t>
      </w:r>
    </w:p>
    <w:bookmarkEnd w:id="30"/>
    <w:bookmarkStart w:id="31" w:name="transport-and-distribution-scope-3"/>
    <w:p>
      <w:pPr>
        <w:pStyle w:val="Heading3"/>
      </w:pPr>
      <w:r>
        <w:t xml:space="preserve">2.3. Transport and Distribution (Scope 3)</w:t>
      </w:r>
    </w:p>
    <w:p>
      <w:pPr>
        <w:pStyle w:val="FirstParagraph"/>
      </w:pPr>
      <w:r>
        <w:t xml:space="preserve">Logistics data has been incorporated into the supply chain analysis.</w:t>
      </w:r>
    </w:p>
    <w:p>
      <w:pPr>
        <w:numPr>
          <w:ilvl w:val="0"/>
          <w:numId w:val="1004"/>
        </w:numPr>
        <w:pStyle w:val="Compact"/>
      </w:pPr>
      <w:r>
        <w:rPr>
          <w:bCs/>
          <w:b/>
        </w:rPr>
        <w:t xml:space="preserve">Primary Transport Mode (Factory to Distribution Hub, Europe):</w:t>
      </w:r>
      <w:r>
        <w:t xml:space="preserve"> </w:t>
      </w:r>
      <w:r>
        <w:t xml:space="preserve">Road Freight (Heavy Goods Vehicle - assumed for \'Select Mode\')</w:t>
      </w:r>
    </w:p>
    <w:p>
      <w:pPr>
        <w:numPr>
          <w:ilvl w:val="0"/>
          <w:numId w:val="1004"/>
        </w:numPr>
        <w:pStyle w:val="Compact"/>
      </w:pPr>
      <w:r>
        <w:rPr>
          <w:bCs/>
          <w:b/>
        </w:rPr>
        <w:t xml:space="preserve">Transport Distance (Primary):</w:t>
      </w:r>
      <w:r>
        <w:t xml:space="preserve"> </w:t>
      </w:r>
      <w:r>
        <w:t xml:space="preserve">2000 km (lqhtsodxgj - assumed for calculation)</w:t>
      </w:r>
    </w:p>
    <w:p>
      <w:pPr>
        <w:numPr>
          <w:ilvl w:val="0"/>
          <w:numId w:val="1004"/>
        </w:numPr>
        <w:pStyle w:val="Compact"/>
      </w:pPr>
      <w:r>
        <w:rPr>
          <w:bCs/>
          <w:b/>
        </w:rPr>
        <w:t xml:space="preserve">Road Freight Emission Factor (HGV &gt;20t, Europe):</w:t>
      </w:r>
      <w:r>
        <w:t xml:space="preserve"> </w:t>
      </w:r>
      <w:r>
        <w:t xml:space="preserve">0.092 kgCO2e/tonne-km (Well-to-Wheel)</w:t>
      </w:r>
    </w:p>
    <w:p>
      <w:pPr>
        <w:numPr>
          <w:ilvl w:val="0"/>
          <w:numId w:val="1004"/>
        </w:numPr>
        <w:pStyle w:val="Compact"/>
      </w:pPr>
      <w:r>
        <w:rPr>
          <w:bCs/>
          <w:b/>
        </w:rPr>
        <w:t xml:space="preserve">Last-Mile Delivery Channel (Distribution Hub to Customer):</w:t>
      </w:r>
      <w:r>
        <w:t xml:space="preserve"> </w:t>
      </w:r>
      <w:r>
        <w:t xml:space="preserve">Van Delivery (assumed for \'Delivery Type\')</w:t>
      </w:r>
    </w:p>
    <w:p>
      <w:pPr>
        <w:numPr>
          <w:ilvl w:val="0"/>
          <w:numId w:val="1004"/>
        </w:numPr>
        <w:pStyle w:val="Compact"/>
      </w:pPr>
      <w:r>
        <w:rPr>
          <w:bCs/>
          <w:b/>
        </w:rPr>
        <w:t xml:space="preserve">Transport Distance (Last-Mile):</w:t>
      </w:r>
      <w:r>
        <w:t xml:space="preserve"> </w:t>
      </w:r>
      <w:r>
        <w:t xml:space="preserve">100 km (assumed for calculation)</w:t>
      </w:r>
    </w:p>
    <w:p>
      <w:pPr>
        <w:numPr>
          <w:ilvl w:val="0"/>
          <w:numId w:val="1004"/>
        </w:numPr>
        <w:pStyle w:val="Compact"/>
      </w:pPr>
      <w:r>
        <w:rPr>
          <w:bCs/>
          <w:b/>
        </w:rPr>
        <w:t xml:space="preserve">Last-Mile Delivery Emission Factor (LCV, assumed 0.5t payload):</w:t>
      </w:r>
      <w:r>
        <w:t xml:space="preserve"> </w:t>
      </w:r>
      <w:r>
        <w:t xml:space="preserve">0.3078 kgCO2e/tonne-km (derived from LCV 2025 target of 153.9 g/km)</w:t>
      </w:r>
    </w:p>
    <w:bookmarkEnd w:id="31"/>
    <w:bookmarkStart w:id="32" w:name="use-phase-downstream-scope-3"/>
    <w:p>
      <w:pPr>
        <w:pStyle w:val="Heading3"/>
      </w:pPr>
      <w:r>
        <w:t xml:space="preserve">2.4. Use Phase (Downstream Scope 3)</w:t>
      </w:r>
    </w:p>
    <w:p>
      <w:pPr>
        <w:pStyle w:val="FirstParagraph"/>
      </w:pPr>
      <w:r>
        <w:t xml:space="preserve">The energy consumption and lifespan of the product during its use contribute significantly to the overall footprint.</w:t>
      </w:r>
    </w:p>
    <w:p>
      <w:pPr>
        <w:numPr>
          <w:ilvl w:val="0"/>
          <w:numId w:val="1005"/>
        </w:numPr>
        <w:pStyle w:val="Compact"/>
      </w:pPr>
      <w:r>
        <w:rPr>
          <w:bCs/>
          <w:b/>
        </w:rPr>
        <w:t xml:space="preserve">Product Lifespan:</w:t>
      </w:r>
      <w:r>
        <w:t xml:space="preserve"> </w:t>
      </w:r>
      <w:r>
        <w:t xml:space="preserve">5 years (jyjosgvtmg - assumed for calculation)</w:t>
      </w:r>
    </w:p>
    <w:p>
      <w:pPr>
        <w:numPr>
          <w:ilvl w:val="0"/>
          <w:numId w:val="1005"/>
        </w:numPr>
        <w:pStyle w:val="Compact"/>
      </w:pPr>
      <w:r>
        <w:rPr>
          <w:bCs/>
          <w:b/>
        </w:rPr>
        <w:t xml:space="preserve">Energy Consumption in Use:</w:t>
      </w:r>
      <w:r>
        <w:t xml:space="preserve"> </w:t>
      </w:r>
      <w:r>
        <w:t xml:space="preserve">10 kWh/year (gqtqzljeye - assumed for calculation)</w:t>
      </w:r>
    </w:p>
    <w:p>
      <w:pPr>
        <w:numPr>
          <w:ilvl w:val="0"/>
          <w:numId w:val="1005"/>
        </w:numPr>
        <w:pStyle w:val="Compact"/>
      </w:pPr>
      <w:r>
        <w:rPr>
          <w:bCs/>
          <w:b/>
        </w:rPr>
        <w:t xml:space="preserve">Grid Electricity Emission Factor (Europe average for use phase):</w:t>
      </w:r>
      <w:r>
        <w:t xml:space="preserve"> </w:t>
      </w:r>
      <w:r>
        <w:t xml:space="preserve">0.2883 kgCO2e/kWh (EU-27 average)</w:t>
      </w:r>
    </w:p>
    <w:bookmarkEnd w:id="32"/>
    <w:bookmarkStart w:id="33" w:name="Xd7683730b62cf8ea6d63cd2a65e9f42684179e2"/>
    <w:p>
      <w:pPr>
        <w:pStyle w:val="Heading3"/>
      </w:pPr>
      <w:r>
        <w:t xml:space="preserve">2.5. End-of-Life (EoL) Treatment (Downstream Scope 3)</w:t>
      </w:r>
    </w:p>
    <w:p>
      <w:pPr>
        <w:pStyle w:val="FirstParagraph"/>
      </w:pPr>
      <w:r>
        <w:t xml:space="preserve">The recyclability and circular programs play a crucial role in mitigating end-of-life impacts.</w:t>
      </w:r>
    </w:p>
    <w:p>
      <w:pPr>
        <w:numPr>
          <w:ilvl w:val="0"/>
          <w:numId w:val="1006"/>
        </w:numPr>
        <w:pStyle w:val="Compact"/>
      </w:pPr>
      <w:r>
        <w:rPr>
          <w:bCs/>
          <w:b/>
        </w:rPr>
        <w:t xml:space="preserve">Recyclability Percentage:</w:t>
      </w:r>
      <w:r>
        <w:t xml:space="preserve"> </w:t>
      </w:r>
      <w:r>
        <w:t xml:space="preserve">70% (gllzodxgdt - assumed for calculation)</w:t>
      </w:r>
    </w:p>
    <w:p>
      <w:pPr>
        <w:numPr>
          <w:ilvl w:val="0"/>
          <w:numId w:val="1006"/>
        </w:numPr>
        <w:pStyle w:val="Compact"/>
      </w:pPr>
      <w:r>
        <w:rPr>
          <w:bCs/>
          <w:b/>
        </w:rPr>
        <w:t xml:space="preserve">Circular/Take-back Programs:</w:t>
      </w:r>
      <w:r>
        <w:t xml:space="preserve"> </w:t>
      </w:r>
      <w:r>
        <w:t xml:space="preserve">zzglefwmhl operates a take-back program for xkprdmipkx, encouraging product return for disassembly and material recovery (vxfmzjgzfm - assumed for calculation).</w:t>
      </w:r>
    </w:p>
    <w:p>
      <w:r>
        <w:pict>
          <v:rect style="width:0;height:1.5pt" o:hralign="center" o:hrstd="t" o:hr="t"/>
        </w:pict>
      </w:r>
    </w:p>
    <w:bookmarkEnd w:id="33"/>
    <w:bookmarkEnd w:id="34"/>
    <w:bookmarkStart w:id="41" w:name="emissions-calculation"/>
    <w:p>
      <w:pPr>
        <w:pStyle w:val="Heading2"/>
      </w:pPr>
      <w:r>
        <w:t xml:space="preserve">3. Emissions Calculation</w:t>
      </w:r>
    </w:p>
    <w:p>
      <w:pPr>
        <w:pStyle w:val="FirstParagraph"/>
      </w:pPr>
      <w:r>
        <w:t xml:space="preserve">Emissions are calculated for each lifecycle stage by multiplying activity data by relevant emission factors. The results are categorized according to the GHG Protocol Scopes.</w:t>
      </w:r>
    </w:p>
    <w:bookmarkStart w:id="35" w:name="material-impact-scope-3---upstream"/>
    <w:p>
      <w:pPr>
        <w:pStyle w:val="Heading3"/>
      </w:pPr>
      <w:r>
        <w:t xml:space="preserve">3.1. Material Impact (Scope 3 - Upstream)</w:t>
      </w:r>
    </w:p>
    <w:p>
      <w:pPr>
        <w:pStyle w:val="FirstParagraph"/>
      </w:pPr>
      <w:r>
        <w:t xml:space="preserve">The total carbon from raw materials is directly summed from the provided BOM:</w:t>
      </w:r>
    </w:p>
    <w:p>
      <w:pPr>
        <w:numPr>
          <w:ilvl w:val="0"/>
          <w:numId w:val="1007"/>
        </w:numPr>
        <w:pStyle w:val="Compact"/>
      </w:pPr>
      <w:r>
        <w:t xml:space="preserve">Total Carbon from BOM (segotjzt): 7.5 + 0.7 + 1.0 + 0.2 + 2.0 + 0.02 + 0.1 =</w:t>
      </w:r>
      <w:r>
        <w:t xml:space="preserve"> </w:t>
      </w:r>
      <w:r>
        <w:rPr>
          <w:bCs/>
          <w:b/>
        </w:rPr>
        <w:t xml:space="preserve">11.52 kgCO2e</w:t>
      </w:r>
    </w:p>
    <w:bookmarkEnd w:id="35"/>
    <w:bookmarkStart w:id="36" w:name="production-phase-scope-1-2"/>
    <w:p>
      <w:pPr>
        <w:pStyle w:val="Heading3"/>
      </w:pPr>
      <w:r>
        <w:t xml:space="preserve">3.2. Production Phase (Scope 1 &amp; 2)</w:t>
      </w:r>
    </w:p>
    <w:p>
      <w:pPr>
        <w:pStyle w:val="FirstParagraph"/>
      </w:pPr>
      <w:r>
        <w:t xml:space="preserve">Assuming the 15 kWh/unit (swfhkhpymx) energy intensity is entirely electricity, and 60% (veleumjxrd) of this electricity comes from renewable sources, the calculation is as follows:</w:t>
      </w:r>
    </w:p>
    <w:p>
      <w:pPr>
        <w:numPr>
          <w:ilvl w:val="0"/>
          <w:numId w:val="1008"/>
        </w:numPr>
        <w:pStyle w:val="Compact"/>
      </w:pPr>
      <w:r>
        <w:t xml:space="preserve">Non-renewable electricity: 15 kWh/unit * (1 - 0.60) = 6 kWh/unit</w:t>
      </w:r>
    </w:p>
    <w:p>
      <w:pPr>
        <w:numPr>
          <w:ilvl w:val="0"/>
          <w:numId w:val="1008"/>
        </w:numPr>
        <w:pStyle w:val="Compact"/>
      </w:pPr>
      <w:r>
        <w:t xml:space="preserve">Emissions from non-renewable electricity: 6 kWh/unit * 0.6205 kgCO2e/kWh (China grid EF) =</w:t>
      </w:r>
      <w:r>
        <w:t xml:space="preserve"> </w:t>
      </w:r>
      <w:r>
        <w:rPr>
          <w:bCs/>
          <w:b/>
        </w:rPr>
        <w:t xml:space="preserve">3.723 kgCO2e/unit</w:t>
      </w:r>
    </w:p>
    <w:p>
      <w:pPr>
        <w:numPr>
          <w:ilvl w:val="0"/>
          <w:numId w:val="1008"/>
        </w:numPr>
        <w:pStyle w:val="Compact"/>
      </w:pPr>
      <w:r>
        <w:t xml:space="preserve">Emissions from renewable electricity: 15 kWh/unit * 0.60 * 0 kgCO2e/kWh (assuming certified zero-emission renewables) = 0 kgCO2e/unit</w:t>
      </w:r>
    </w:p>
    <w:p>
      <w:pPr>
        <w:numPr>
          <w:ilvl w:val="0"/>
          <w:numId w:val="1008"/>
        </w:numPr>
        <w:pStyle w:val="Compact"/>
      </w:pPr>
      <w:r>
        <w:rPr>
          <w:bCs/>
          <w:b/>
        </w:rPr>
        <w:t xml:space="preserve">Total Production Emissions: 3.723 kgCO2e/unit</w:t>
      </w:r>
      <w:r>
        <w:t xml:space="preserve"> </w:t>
      </w:r>
      <w:r>
        <w:t xml:space="preserve">(primarily Scope 2)</w:t>
      </w:r>
    </w:p>
    <w:bookmarkEnd w:id="36"/>
    <w:bookmarkStart w:id="37" w:name="X20efc89ca55650b531605dcd0d6a285ce77dbfd"/>
    <w:p>
      <w:pPr>
        <w:pStyle w:val="Heading3"/>
      </w:pPr>
      <w:r>
        <w:t xml:space="preserve">3.3. Transport Emissions (Scope 3 - Upstream &amp; Downstream)</w:t>
      </w:r>
    </w:p>
    <w:p>
      <w:pPr>
        <w:pStyle w:val="FirstParagraph"/>
      </w:pPr>
      <w:r>
        <w:t xml:space="preserve">Assuming a product weight of 1.0 kg for transport calculations (based on sample BOM total mass).</w:t>
      </w:r>
    </w:p>
    <w:p>
      <w:pPr>
        <w:numPr>
          <w:ilvl w:val="0"/>
          <w:numId w:val="1009"/>
        </w:numPr>
        <w:pStyle w:val="Compact"/>
      </w:pPr>
      <w:r>
        <w:rPr>
          <w:bCs/>
          <w:b/>
        </w:rPr>
        <w:t xml:space="preserve">Primary Transport (Factory to Distribution Hub, Europe):</w:t>
      </w:r>
    </w:p>
    <w:p>
      <w:pPr>
        <w:numPr>
          <w:ilvl w:val="0"/>
          <w:numId w:val="1009"/>
        </w:numPr>
        <w:pStyle w:val="Compact"/>
      </w:pPr>
      <w:r>
        <w:t xml:space="preserve">Activity: 1.0 kg (product weight) * 2000 km (lqhtsodxgj) = 2000 kg·km = 2 tonne·km</w:t>
      </w:r>
    </w:p>
    <w:p>
      <w:pPr>
        <w:numPr>
          <w:ilvl w:val="0"/>
          <w:numId w:val="1009"/>
        </w:numPr>
        <w:pStyle w:val="Compact"/>
      </w:pPr>
      <w:r>
        <w:t xml:space="preserve">Emissions: 2 tonne·km * 0.092 kgCO2e/tonne-km (Road Freight HGV) =</w:t>
      </w:r>
      <w:r>
        <w:t xml:space="preserve"> </w:t>
      </w:r>
      <w:r>
        <w:rPr>
          <w:bCs/>
          <w:b/>
        </w:rPr>
        <w:t xml:space="preserve">0.184 kgCO2e/unit</w:t>
      </w:r>
    </w:p>
    <w:p>
      <w:pPr>
        <w:numPr>
          <w:ilvl w:val="0"/>
          <w:numId w:val="1009"/>
        </w:numPr>
        <w:pStyle w:val="Compact"/>
      </w:pPr>
      <w:r>
        <w:rPr>
          <w:bCs/>
          <w:b/>
        </w:rPr>
        <w:t xml:space="preserve">Last-Mile Delivery (Distribution Hub to Customer):</w:t>
      </w:r>
    </w:p>
    <w:p>
      <w:pPr>
        <w:numPr>
          <w:ilvl w:val="0"/>
          <w:numId w:val="1009"/>
        </w:numPr>
        <w:pStyle w:val="Compact"/>
      </w:pPr>
      <w:r>
        <w:t xml:space="preserve">Activity: 1.0 kg (product weight) * 100 km = 100 kg·km = 0.1 tonne·km</w:t>
      </w:r>
    </w:p>
    <w:p>
      <w:pPr>
        <w:numPr>
          <w:ilvl w:val="0"/>
          <w:numId w:val="1009"/>
        </w:numPr>
        <w:pStyle w:val="Compact"/>
      </w:pPr>
      <w:r>
        <w:t xml:space="preserve">Emissions: 0.1 tonne·km * 0.3078 kgCO2e/tonne-km (Last-Mile LCV) =</w:t>
      </w:r>
      <w:r>
        <w:t xml:space="preserve"> </w:t>
      </w:r>
      <w:r>
        <w:rPr>
          <w:bCs/>
          <w:b/>
        </w:rPr>
        <w:t xml:space="preserve">0.03078 kgCO2e/unit</w:t>
      </w:r>
    </w:p>
    <w:p>
      <w:pPr>
        <w:numPr>
          <w:ilvl w:val="0"/>
          <w:numId w:val="1009"/>
        </w:numPr>
        <w:pStyle w:val="Compact"/>
      </w:pPr>
      <w:r>
        <w:rPr>
          <w:bCs/>
          <w:b/>
        </w:rPr>
        <w:t xml:space="preserve">Total Transport Emissions: 0.184 + 0.03078 = 0.21478 kgCO2e/unit</w:t>
      </w:r>
    </w:p>
    <w:bookmarkEnd w:id="37"/>
    <w:bookmarkStart w:id="38" w:name="use-phase-emissions-scope-3---downstream"/>
    <w:p>
      <w:pPr>
        <w:pStyle w:val="Heading3"/>
      </w:pPr>
      <w:r>
        <w:t xml:space="preserve">3.4. Use Phase Emissions (Scope 3 - Downstream)</w:t>
      </w:r>
    </w:p>
    <w:p>
      <w:pPr>
        <w:numPr>
          <w:ilvl w:val="0"/>
          <w:numId w:val="1010"/>
        </w:numPr>
        <w:pStyle w:val="Compact"/>
      </w:pPr>
      <w:r>
        <w:t xml:space="preserve">Total Energy Consumption: 10 kWh/year (gqtqzljeye) * 5 years (jyjosgvtmg) = 50 kWh/unit</w:t>
      </w:r>
    </w:p>
    <w:p>
      <w:pPr>
        <w:numPr>
          <w:ilvl w:val="0"/>
          <w:numId w:val="1010"/>
        </w:numPr>
        <w:pStyle w:val="Compact"/>
      </w:pPr>
      <w:r>
        <w:t xml:space="preserve">Emissions: 50 kWh/unit * 0.2883 kgCO2e/kWh (Europe average EF) =</w:t>
      </w:r>
      <w:r>
        <w:t xml:space="preserve"> </w:t>
      </w:r>
      <w:r>
        <w:rPr>
          <w:bCs/>
          <w:b/>
        </w:rPr>
        <w:t xml:space="preserve">14.415 kgCO2e/unit</w:t>
      </w:r>
    </w:p>
    <w:bookmarkEnd w:id="38"/>
    <w:bookmarkStart w:id="39" w:name="Xd9e5ad5ea4c3b87eccc24965f3c36828e2add2d"/>
    <w:p>
      <w:pPr>
        <w:pStyle w:val="Heading3"/>
      </w:pPr>
      <w:r>
        <w:t xml:space="preserve">3.5. End-of-Life (EoL) Emissions (Scope 3 - Downstream)</w:t>
      </w:r>
    </w:p>
    <w:p>
      <w:pPr>
        <w:pStyle w:val="FirstParagraph"/>
      </w:pPr>
      <w:r>
        <w:t xml:space="preserve">Assuming product weight of 1.0 kg. With 70% recyclability (gllzodxgdt), 30% goes to disposal.</w:t>
      </w:r>
    </w:p>
    <w:p>
      <w:pPr>
        <w:numPr>
          <w:ilvl w:val="0"/>
          <w:numId w:val="1011"/>
        </w:numPr>
        <w:pStyle w:val="Compact"/>
      </w:pPr>
      <w:r>
        <w:t xml:space="preserve">Emissions from disposal (e.g., landfill/incineration for 30% of materials, assuming an average EoL factor of 2.0 kgCO2e/kg for mixed waste for demonstration purposes):</w:t>
      </w:r>
    </w:p>
    <w:p>
      <w:pPr>
        <w:numPr>
          <w:ilvl w:val="0"/>
          <w:numId w:val="1011"/>
        </w:numPr>
        <w:pStyle w:val="Compact"/>
      </w:pPr>
      <w:r>
        <w:t xml:space="preserve">Disposed material: 1.0 kg * (1 - 0.70) = 0.3 kg</w:t>
      </w:r>
    </w:p>
    <w:p>
      <w:pPr>
        <w:numPr>
          <w:ilvl w:val="0"/>
          <w:numId w:val="1011"/>
        </w:numPr>
        <w:pStyle w:val="Compact"/>
      </w:pPr>
      <w:r>
        <w:t xml:space="preserve">Disposal Emissions: 0.3 kg * 2.0 kgCO2e/kg = 0.6 kgCO2e/unit</w:t>
      </w:r>
    </w:p>
    <w:p>
      <w:pPr>
        <w:numPr>
          <w:ilvl w:val="0"/>
          <w:numId w:val="1011"/>
        </w:numPr>
        <w:pStyle w:val="Compact"/>
      </w:pPr>
      <w:r>
        <w:t xml:space="preserve">Avoided emissions from recycling (70% of materials, assuming an average avoided emission factor of 1.5 kgCO2e/kg for mixed materials for demonstration purposes):</w:t>
      </w:r>
    </w:p>
    <w:p>
      <w:pPr>
        <w:numPr>
          <w:ilvl w:val="0"/>
          <w:numId w:val="1011"/>
        </w:numPr>
        <w:pStyle w:val="Compact"/>
      </w:pPr>
      <w:r>
        <w:t xml:space="preserve">Recycled material: 1.0 kg * 0.70 = 0.7 kg</w:t>
      </w:r>
    </w:p>
    <w:p>
      <w:pPr>
        <w:numPr>
          <w:ilvl w:val="0"/>
          <w:numId w:val="1011"/>
        </w:numPr>
        <w:pStyle w:val="Compact"/>
      </w:pPr>
      <w:r>
        <w:t xml:space="preserve">Avoided Emissions: 0.7 kg * 1.5 kgCO2e/kg = -1.05 kgCO2e/unit</w:t>
      </w:r>
    </w:p>
    <w:p>
      <w:pPr>
        <w:numPr>
          <w:ilvl w:val="0"/>
          <w:numId w:val="1011"/>
        </w:numPr>
        <w:pStyle w:val="Compact"/>
      </w:pPr>
      <w:r>
        <w:rPr>
          <w:bCs/>
          <w:b/>
        </w:rPr>
        <w:t xml:space="preserve">Total End-of-Life Emissions (Net): 0.6 - 1.05 = -0.45 kgCO2e/unit</w:t>
      </w:r>
      <w:r>
        <w:t xml:space="preserve"> </w:t>
      </w:r>
      <w:r>
        <w:t xml:space="preserve">(This net negative indicates a benefit from high recyclability).</w:t>
      </w:r>
    </w:p>
    <w:bookmarkEnd w:id="39"/>
    <w:bookmarkStart w:id="40" w:name="X2a937c330cd360755c0af8105079de86855d984"/>
    <w:p>
      <w:pPr>
        <w:pStyle w:val="Heading3"/>
      </w:pPr>
      <w:r>
        <w:t xml:space="preserve">3.6. Total Product Carbon Footprint (PCF) for xkprdmipkx</w:t>
      </w:r>
    </w:p>
    <w:p>
      <w:pPr>
        <w:pStyle w:val="FirstParagraph"/>
      </w:pPr>
      <w:r>
        <w:t xml:space="preserve">Summing up all calculated emissions:</w:t>
      </w:r>
    </w:p>
    <w:p>
      <w:pPr>
        <w:numPr>
          <w:ilvl w:val="0"/>
          <w:numId w:val="1012"/>
        </w:numPr>
        <w:pStyle w:val="Compact"/>
      </w:pPr>
      <w:r>
        <w:t xml:space="preserve">Material Impact: 11.52 kgCO2e</w:t>
      </w:r>
    </w:p>
    <w:p>
      <w:pPr>
        <w:numPr>
          <w:ilvl w:val="0"/>
          <w:numId w:val="1012"/>
        </w:numPr>
        <w:pStyle w:val="Compact"/>
      </w:pPr>
      <w:r>
        <w:t xml:space="preserve">Production Emissions: 3.723 kgCO2e (Scope 2)</w:t>
      </w:r>
    </w:p>
    <w:p>
      <w:pPr>
        <w:numPr>
          <w:ilvl w:val="0"/>
          <w:numId w:val="1012"/>
        </w:numPr>
        <w:pStyle w:val="Compact"/>
      </w:pPr>
      <w:r>
        <w:t xml:space="preserve">Transport Emissions: 0.21478 kgCO2e (Scope 3)</w:t>
      </w:r>
    </w:p>
    <w:p>
      <w:pPr>
        <w:numPr>
          <w:ilvl w:val="0"/>
          <w:numId w:val="1012"/>
        </w:numPr>
        <w:pStyle w:val="Compact"/>
      </w:pPr>
      <w:r>
        <w:t xml:space="preserve">Use Phase Emissions: 14.415 kgCO2e (Scope 3)</w:t>
      </w:r>
    </w:p>
    <w:p>
      <w:pPr>
        <w:numPr>
          <w:ilvl w:val="0"/>
          <w:numId w:val="1012"/>
        </w:numPr>
        <w:pStyle w:val="Compact"/>
      </w:pPr>
      <w:r>
        <w:t xml:space="preserve">End-of-Life Emissions: -0.45 kgCO2e (Scope 3)</w:t>
      </w:r>
    </w:p>
    <w:p>
      <w:pPr>
        <w:pStyle w:val="FirstParagraph"/>
      </w:pPr>
      <w:r>
        <w:rPr>
          <w:bCs/>
          <w:b/>
        </w:rPr>
        <w:t xml:space="preserve">Total PCF = 11.52 + 3.723 + 0.21478 + 14.415 - 0.45 = 29.42278 kgCO2e/unit</w:t>
      </w:r>
    </w:p>
    <w:p>
      <w:r>
        <w:pict>
          <v:rect style="width:0;height:1.5pt" o:hralign="center" o:hrstd="t" o:hr="t"/>
        </w:pict>
      </w:r>
    </w:p>
    <w:bookmarkEnd w:id="40"/>
    <w:bookmarkEnd w:id="41"/>
    <w:bookmarkStart w:id="44" w:name="review-and-report"/>
    <w:p>
      <w:pPr>
        <w:pStyle w:val="Heading2"/>
      </w:pPr>
      <w:r>
        <w:t xml:space="preserve">4. Review and Report</w:t>
      </w:r>
    </w:p>
    <w:bookmarkStart w:id="42" w:name="emission-hotspots"/>
    <w:p>
      <w:pPr>
        <w:pStyle w:val="Heading3"/>
      </w:pPr>
      <w:r>
        <w:t xml:space="preserve">4.1. Emission Hotspots</w:t>
      </w:r>
    </w:p>
    <w:p>
      <w:pPr>
        <w:pStyle w:val="FirstParagraph"/>
      </w:pPr>
      <w:r>
        <w:t xml:space="preserve">Based on the calculations, the primary emission hotspots for xkprdmipkx are:</w:t>
      </w:r>
    </w:p>
    <w:p>
      <w:pPr>
        <w:numPr>
          <w:ilvl w:val="0"/>
          <w:numId w:val="1013"/>
        </w:numPr>
        <w:pStyle w:val="Compact"/>
      </w:pPr>
      <w:r>
        <w:rPr>
          <w:bCs/>
          <w:b/>
        </w:rPr>
        <w:t xml:space="preserve">Use Phase (14.415 kgCO2e):</w:t>
      </w:r>
      <w:r>
        <w:t xml:space="preserve"> </w:t>
      </w:r>
      <w:r>
        <w:t xml:space="preserve">This is the largest contributor, primarily due to electricity consumption over the product\'s lifespan. The European grid mix, while improving, still carries a significant carbon intensity.</w:t>
      </w:r>
    </w:p>
    <w:p>
      <w:pPr>
        <w:numPr>
          <w:ilvl w:val="0"/>
          <w:numId w:val="1013"/>
        </w:numPr>
        <w:pStyle w:val="Compact"/>
      </w:pPr>
      <w:r>
        <w:rPr>
          <w:bCs/>
          <w:b/>
        </w:rPr>
        <w:t xml:space="preserve">Material Impact (11.52 kgCO2e):</w:t>
      </w:r>
      <w:r>
        <w:t xml:space="preserve"> </w:t>
      </w:r>
      <w:r>
        <w:t xml:space="preserve">Raw material extraction and processing, particularly for energy-intensive materials like aluminum, contribute substantially.</w:t>
      </w:r>
    </w:p>
    <w:p>
      <w:pPr>
        <w:numPr>
          <w:ilvl w:val="0"/>
          <w:numId w:val="1013"/>
        </w:numPr>
        <w:pStyle w:val="Compact"/>
      </w:pPr>
      <w:r>
        <w:rPr>
          <w:bCs/>
          <w:b/>
        </w:rPr>
        <w:t xml:space="preserve">Production Emissions (3.723 kgCO2e):</w:t>
      </w:r>
      <w:r>
        <w:t xml:space="preserve"> </w:t>
      </w:r>
      <w:r>
        <w:t xml:space="preserve">Despite 60% renewable energy usage, the remaining grid electricity from China\'s relatively carbon-intensive grid contributes.</w:t>
      </w:r>
    </w:p>
    <w:bookmarkEnd w:id="42"/>
    <w:bookmarkStart w:id="43" w:name="reliability-and-recommendations"/>
    <w:p>
      <w:pPr>
        <w:pStyle w:val="Heading3"/>
      </w:pPr>
      <w:r>
        <w:t xml:space="preserve">4.2. Reliability and Recommendations</w:t>
      </w:r>
    </w:p>
    <w:p>
      <w:pPr>
        <w:pStyle w:val="FirstParagraph"/>
      </w:pPr>
      <w:r>
        <w:t xml:space="preserve">The calculations are based on the specific parameters provided and industry-standard emission factors from reputable sources (e.g., Climatiq, Climate Transparency Report, EEA). The reliability of the results is contingent on the accuracy and representativeness of the input data.</w:t>
      </w:r>
    </w:p>
    <w:p>
      <w:pPr>
        <w:pStyle w:val="BodyText"/>
      </w:pPr>
      <w:r>
        <w:t xml:space="preserve">Recommendations for zzglefwmhl to reduce the PCF of xkprdmipkx include:</w:t>
      </w:r>
    </w:p>
    <w:p>
      <w:pPr>
        <w:numPr>
          <w:ilvl w:val="0"/>
          <w:numId w:val="1014"/>
        </w:numPr>
        <w:pStyle w:val="Compact"/>
      </w:pPr>
      <w:r>
        <w:rPr>
          <w:bCs/>
          <w:b/>
        </w:rPr>
        <w:t xml:space="preserve">Energy Decarbonization in Use Phase:</w:t>
      </w:r>
      <w:r>
        <w:t xml:space="preserve"> </w:t>
      </w:r>
      <w:r>
        <w:t xml:space="preserve">Investigate opportunities for the product to use less energy, or to be powered by renewable energy during its use phase. Promoting green energy tariffs to end-users could also contribute.</w:t>
      </w:r>
    </w:p>
    <w:p>
      <w:pPr>
        <w:numPr>
          <w:ilvl w:val="0"/>
          <w:numId w:val="1014"/>
        </w:numPr>
        <w:pStyle w:val="Compact"/>
      </w:pPr>
      <w:r>
        <w:rPr>
          <w:bCs/>
          <w:b/>
        </w:rPr>
        <w:t xml:space="preserve">Material Optimization:</w:t>
      </w:r>
      <w:r>
        <w:t xml:space="preserve"> </w:t>
      </w:r>
      <w:r>
        <w:t xml:space="preserve">Explore alternative, lower-carbon materials for components, and optimize design to reduce material quantity.</w:t>
      </w:r>
    </w:p>
    <w:p>
      <w:pPr>
        <w:numPr>
          <w:ilvl w:val="0"/>
          <w:numId w:val="1014"/>
        </w:numPr>
        <w:pStyle w:val="Compact"/>
      </w:pPr>
      <w:r>
        <w:rPr>
          <w:bCs/>
          <w:b/>
        </w:rPr>
        <w:t xml:space="preserve">Enhanced Renewable Energy in Production:</w:t>
      </w:r>
      <w:r>
        <w:t xml:space="preserve"> </w:t>
      </w:r>
      <w:r>
        <w:t xml:space="preserve">Increase the percentage of renewable energy used in the manufacturing facility in China, potentially through direct procurement or on-site generation.</w:t>
      </w:r>
    </w:p>
    <w:p>
      <w:pPr>
        <w:numPr>
          <w:ilvl w:val="0"/>
          <w:numId w:val="1014"/>
        </w:numPr>
        <w:pStyle w:val="Compact"/>
      </w:pPr>
      <w:r>
        <w:rPr>
          <w:bCs/>
          <w:b/>
        </w:rPr>
        <w:t xml:space="preserve">Supply Chain Efficiency:</w:t>
      </w:r>
      <w:r>
        <w:t xml:space="preserve"> </w:t>
      </w:r>
      <w:r>
        <w:t xml:space="preserve">Optimize transport routes, explore lower-emission transport modes (e.g., rail, sea freight where feasible) for primary transport, and improve load factors.</w:t>
      </w:r>
    </w:p>
    <w:p>
      <w:pPr>
        <w:numPr>
          <w:ilvl w:val="0"/>
          <w:numId w:val="1014"/>
        </w:numPr>
        <w:pStyle w:val="Compact"/>
      </w:pPr>
      <w:r>
        <w:rPr>
          <w:bCs/>
          <w:b/>
        </w:rPr>
        <w:t xml:space="preserve">Strengthen Circularity:</w:t>
      </w:r>
      <w:r>
        <w:t xml:space="preserve"> </w:t>
      </w:r>
      <w:r>
        <w:t xml:space="preserve">Continue to strengthen take-back and recycling programs, aiming for even higher recyclability percentages and material recovery to maximize avoided emissions.</w:t>
      </w:r>
    </w:p>
    <w:p>
      <w:pPr>
        <w:pStyle w:val="FirstParagraph"/>
      </w:pPr>
      <w:r>
        <w:t xml:space="preserve">This report serves as a foundational analysis. Further detailed analysis, including primary data collection for all Scope 3 categories and a sensitivity analysis of key parameters, would enhance the accuracy and robustness of the PCF.</w:t>
      </w:r>
    </w:p>
    <w:p>
      <w:pPr>
        <w:pStyle w:val="BodyText"/>
      </w:pPr>
      <w:r>
        <w:t xml:space="preserve">Confidential - Internal Use Only | Page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xkprdmipkx</dc:title>
  <dc:creator/>
  <dc:description>High-detail Product Carbon Footprint (PCF) analysis for xkprdmipkx by zzglefwmhl, conducted by Senior Sustainability Consultant qnddunoydu, adhering to GHG Protocol and 2026 LSR Update.</dc:description>
  <dc:language>en</dc:language>
  <cp:keywords/>
  <dcterms:created xsi:type="dcterms:W3CDTF">2026-07-14T23:38:07Z</dcterms:created>
  <dcterms:modified xsi:type="dcterms:W3CDTF">2026-07-14T23:38:07Z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