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xjnisumtgo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xjnisumtgo</w:t>
      </w:r>
    </w:p>
    <w:p>
      <w:pPr>
        <w:pStyle w:val="BodyText"/>
      </w:pPr>
      <w:r>
        <w:rPr>
          <w:bCs/>
          <w:b/>
        </w:rPr>
        <w:t xml:space="preserve">Company Name:</w:t>
      </w:r>
      <w:r>
        <w:t xml:space="preserve"> </w:t>
      </w:r>
      <w:r>
        <w:t xml:space="preserve">tnerllfkrv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tlmundeedg</w:t>
      </w:r>
    </w:p>
    <w:p>
      <w:pPr>
        <w:pStyle w:val="BodyText"/>
      </w:pPr>
      <w:r>
        <w:t xml:space="preserve">Disclaimer: This report is generated based on available data and industry standards. While efforts have been made to ensure accuracy,</w:t>
      </w:r>
      <w:r>
        <w:t xml:space="preserve"> </w:t>
      </w:r>
      <w:r>
        <w:t xml:space="preserve">actual emissions may vary depending on specific operational details and evolving methodologies. All emission factors used</w:t>
      </w:r>
      <w:r>
        <w:t xml:space="preserve"> </w:t>
      </w:r>
      <w:r>
        <w:t xml:space="preserve">for calculations where primary data was unavailable are illustrative and based on generic industry averages.</w:t>
      </w:r>
    </w:p>
    <w:bookmarkEnd w:id="20"/>
    <w:bookmarkStart w:id="21" w:name="Xb04fdf2085821a974e93645a5fca54b62d19208"/>
    <w:p>
      <w:pPr>
        <w:pStyle w:val="Heading1"/>
      </w:pPr>
      <w:r>
        <w:t xml:space="preserve">Product Carbon Footprint Analysis Report: xjnisumtgo</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"xjnisumtgo", produced by tnerllfkrv.</w:t>
      </w:r>
      <w:r>
        <w:t xml:space="preserve"> </w:t>
      </w:r>
      <w:r>
        <w:t xml:space="preserve">The analysis adheres to the GHG Protocol accounting standard, categorizing emissions into Scope 1, 2, and 3</w:t>
      </w:r>
      <w:r>
        <w:t xml:space="preserve"> </w:t>
      </w:r>
      <w:r>
        <w:t xml:space="preserve">across the product\'s lifecycle from raw material acquisition to end-of-life. Special attention has been given</w:t>
      </w:r>
      <w:r>
        <w:t xml:space="preserve"> </w:t>
      </w:r>
      <w:r>
        <w:t xml:space="preserve">to the 2026 Land Sector and Removals (LSR) Standard and achieving at least 95% coverage for Scope 3 reporting.</w:t>
      </w:r>
      <w:r>
        <w:t xml:space="preserve"> </w:t>
      </w:r>
      <w:r>
        <w:t xml:space="preserve">The objective is to identify carbon hotspots and provide actionable insights for emission reduction.</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xjnisumtgo.</w:t>
      </w:r>
    </w:p>
    <w:p>
      <w:pPr>
        <w:numPr>
          <w:ilvl w:val="0"/>
          <w:numId w:val="1001"/>
        </w:numPr>
        <w:pStyle w:val="Compact"/>
      </w:pPr>
      <w:r>
        <w:rPr>
          <w:bCs/>
          <w:b/>
        </w:rPr>
        <w:t xml:space="preserve">System Boundary:</w:t>
      </w:r>
      <w:r>
        <w:t xml:space="preserve"> </w:t>
      </w:r>
      <w:r>
        <w:t xml:space="preserve">Factory-gate (cradle-to-gate) with extended analysis for Use Phase and End-of-Life (EoL). This includes raw material extraction, manufacturing, transport to customer, product use, and disposal/recycling.</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This analysis categorizes emissions according to the GHG Protocol Corporate Standard and Product Standard, distinguishing between direct emissions (Scope 1), indirect emissions from purchased energy (Scope 2), and other indirect emissions from the value chain (Scope 3).</w:t>
      </w:r>
    </w:p>
    <w:p>
      <w:pPr>
        <w:numPr>
          <w:ilvl w:val="0"/>
          <w:numId w:val="1001"/>
        </w:numPr>
        <w:pStyle w:val="Compact"/>
      </w:pPr>
      <w:r>
        <w:rPr>
          <w:bCs/>
          <w:b/>
        </w:rPr>
        <w:t xml:space="preserve">Allocation:</w:t>
      </w:r>
      <w:r>
        <w:t xml:space="preserve"> </w:t>
      </w:r>
      <w:r>
        <w:t xml:space="preserve">Mass-based allocation has been applied where co-products or by-products are present, following GHG Protocol guidance.</w:t>
      </w:r>
    </w:p>
    <w:p>
      <w:r>
        <w:pict>
          <v:rect style="width:0;height:1.5pt" o:hralign="center" o:hrstd="t" o:hr="t"/>
        </w:pict>
      </w:r>
    </w:p>
    <w:bookmarkEnd w:id="23"/>
    <w:bookmarkStart w:id="29" w:name="lifecycle-inventory-data-collection"/>
    <w:p>
      <w:pPr>
        <w:pStyle w:val="Heading2"/>
      </w:pPr>
      <w:r>
        <w:t xml:space="preserve">2. &amp; 3. Lifecycle Inventory &amp; Data Collection</w:t>
      </w:r>
    </w:p>
    <w:p>
      <w:pPr>
        <w:pStyle w:val="FirstParagraph"/>
      </w:pPr>
      <w:r>
        <w:t xml:space="preserve">This section details the materials, energy, and logistics inputs. Primary data from the provided Bill of Materials (BOM)</w:t>
      </w:r>
      <w:r>
        <w:t xml:space="preserve"> </w:t>
      </w:r>
      <w:r>
        <w:t xml:space="preserve">and specific operational parameters for tnerllfkrv have been utilized for enhanced accuracy. Where primary data</w:t>
      </w:r>
      <w:r>
        <w:t xml:space="preserve"> </w:t>
      </w:r>
      <w:r>
        <w:t xml:space="preserve">was not available, illustrative industry-average emission factors have been applied, as detailed below.</w:t>
      </w:r>
    </w:p>
    <w:bookmarkStart w:id="24" w:name="X0c944f961fc0938cb0c17570dce58e444d78296"/>
    <w:p>
      <w:pPr>
        <w:pStyle w:val="Heading3"/>
      </w:pPr>
      <w:r>
        <w:t xml:space="preserve">Detailed Bill of Materials (BOM) for xjnisumtgo</w:t>
      </w:r>
    </w:p>
    <w:p>
      <w:pPr>
        <w:pStyle w:val="FirstParagraph"/>
      </w:pPr>
      <w:r>
        <w:t xml:space="preserve">The provided BOM (ouztmrnl) includes specific emission factors or total carbon values for each component, ensuring</w:t>
      </w:r>
      <w:r>
        <w:t xml:space="preserve"> </w:t>
      </w:r>
      <w:r>
        <w:t xml:space="preserve">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250.00</w:t>
            </w:r>
          </w:p>
        </w:tc>
      </w:tr>
      <w:tr>
        <w:tc>
          <w:tcPr/>
          <w:p>
            <w:pPr>
              <w:pStyle w:val="Compact"/>
              <w:jc w:val="left"/>
            </w:pPr>
            <w:r>
              <w:t xml:space="preserve">M002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20.0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60.00</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Grid Electricity Emission Factor (Illustrative):</w:t>
      </w:r>
      <w:r>
        <w:t xml:space="preserve"> </w:t>
      </w:r>
      <w:r>
        <w:t xml:space="preserve">0.4 kg CO2e/kWh (EU Average)</w:t>
      </w:r>
    </w:p>
    <w:p>
      <w:pPr>
        <w:numPr>
          <w:ilvl w:val="0"/>
          <w:numId w:val="1002"/>
        </w:numPr>
        <w:pStyle w:val="Compact"/>
      </w:pPr>
      <w:r>
        <w:rPr>
          <w:bCs/>
          <w:b/>
        </w:rPr>
        <w:t xml:space="preserve">Renewable Electricity Emission Factor (Illustrative, for upstream emissions):</w:t>
      </w:r>
      <w:r>
        <w:t xml:space="preserve"> </w:t>
      </w:r>
      <w:r>
        <w:t xml:space="preserve">0.01 kg CO2e/kWh</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Transport Mode (Illustrative):</w:t>
      </w:r>
      <w:r>
        <w:t xml:space="preserve"> </w:t>
      </w:r>
      <w:r>
        <w:t xml:space="preserve">Select Mode (assumed Road freight)</w:t>
      </w:r>
    </w:p>
    <w:p>
      <w:pPr>
        <w:numPr>
          <w:ilvl w:val="0"/>
          <w:numId w:val="1003"/>
        </w:numPr>
        <w:pStyle w:val="Compact"/>
      </w:pPr>
      <w:r>
        <w:rPr>
          <w:bCs/>
          <w:b/>
        </w:rPr>
        <w:t xml:space="preserve">Transport Distance:</w:t>
      </w:r>
      <w:r>
        <w:t xml:space="preserve"> </w:t>
      </w:r>
      <w:r>
        <w:t xml:space="preserve">1200 km (for primary material/product transport)</w:t>
      </w:r>
    </w:p>
    <w:p>
      <w:pPr>
        <w:numPr>
          <w:ilvl w:val="0"/>
          <w:numId w:val="1003"/>
        </w:numPr>
        <w:pStyle w:val="Compact"/>
      </w:pPr>
      <w:r>
        <w:rPr>
          <w:bCs/>
          <w:b/>
        </w:rPr>
        <w:t xml:space="preserve">Last-Mile Delivery Channel (Illustrative):</w:t>
      </w:r>
      <w:r>
        <w:t xml:space="preserve"> </w:t>
      </w:r>
      <w:r>
        <w:t xml:space="preserve">Delivery Type (assumed Road freight)</w:t>
      </w:r>
    </w:p>
    <w:p>
      <w:pPr>
        <w:numPr>
          <w:ilvl w:val="0"/>
          <w:numId w:val="1003"/>
        </w:numPr>
        <w:pStyle w:val="Compact"/>
      </w:pPr>
      <w:r>
        <w:rPr>
          <w:bCs/>
          <w:b/>
        </w:rPr>
        <w:t xml:space="preserve">Illustrative Road Transport Emission Factor:</w:t>
      </w:r>
      <w:r>
        <w:t xml:space="preserve"> </w:t>
      </w:r>
      <w:r>
        <w:t xml:space="preserve">0.1 kg CO2e/tonne-km</w:t>
      </w:r>
    </w:p>
    <w:p>
      <w:pPr>
        <w:numPr>
          <w:ilvl w:val="0"/>
          <w:numId w:val="1003"/>
        </w:numPr>
        <w:pStyle w:val="Compact"/>
      </w:pPr>
      <w:r>
        <w:rPr>
          <w:bCs/>
          <w:b/>
        </w:rPr>
        <w:t xml:space="preserve">Illustrative Product Weight for Transport:</w:t>
      </w:r>
      <w:r>
        <w:t xml:space="preserve"> </w:t>
      </w:r>
      <w:r>
        <w:t xml:space="preserve">170.00 kg (Derived from BOM)</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30 kWh/year</w:t>
      </w:r>
    </w:p>
    <w:p>
      <w:pPr>
        <w:numPr>
          <w:ilvl w:val="0"/>
          <w:numId w:val="1004"/>
        </w:numPr>
        <w:pStyle w:val="Compact"/>
      </w:pPr>
      <w:r>
        <w:rPr>
          <w:bCs/>
          <w:b/>
        </w:rPr>
        <w:t xml:space="preserve">Illustrative Grid Electricity Emission Factor (for use phase):</w:t>
      </w:r>
      <w:r>
        <w:t xml:space="preserve"> </w:t>
      </w:r>
      <w:r>
        <w:t xml:space="preserve">0.4 kg CO2e/kWh (EU Average)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gyqnpttifi (assumed to imply some reduction in EoL impact beyond basic recycling)</w:t>
      </w:r>
    </w:p>
    <w:p>
      <w:pPr>
        <w:numPr>
          <w:ilvl w:val="0"/>
          <w:numId w:val="1005"/>
        </w:numPr>
        <w:pStyle w:val="Compact"/>
      </w:pPr>
      <w:r>
        <w:rPr>
          <w:bCs/>
          <w:b/>
        </w:rPr>
        <w:t xml:space="preserve">Illustrative Waste to Landfill Emission Factor:</w:t>
      </w:r>
      <w:r>
        <w:t xml:space="preserve"> </w:t>
      </w:r>
      <w:r>
        <w:t xml:space="preserve">0.5 kg CO2e/kg</w:t>
      </w:r>
    </w:p>
    <w:p>
      <w:r>
        <w:pict>
          <v:rect style="width:0;height:1.5pt" o:hralign="center" o:hrstd="t" o:hr="t"/>
        </w:pict>
      </w:r>
    </w:p>
    <w:bookmarkEnd w:id="28"/>
    <w:bookmarkEnd w:id="29"/>
    <w:bookmarkStart w:id="40" w:name="emissions-calculation"/>
    <w:p>
      <w:pPr>
        <w:pStyle w:val="Heading2"/>
      </w:pPr>
      <w:r>
        <w:t xml:space="preserve">4. Emissions Calculation</w:t>
      </w:r>
    </w:p>
    <w:p>
      <w:pPr>
        <w:pStyle w:val="FirstParagraph"/>
      </w:pPr>
      <w:r>
        <w:t xml:space="preserve">Emissions are calculated using the formula:</w:t>
      </w:r>
      <w:r>
        <w:t xml:space="preserve"> </w:t>
      </w:r>
      <w:r>
        <w:rPr>
          <w:rStyle w:val="VerbatimChar"/>
        </w:rPr>
        <w:t xml:space="preserve">Activity Data × Emission Factor = CO2e</w:t>
      </w:r>
      <w:r>
        <w:t xml:space="preserve">.</w:t>
      </w:r>
      <w:r>
        <w:t xml:space="preserve"> </w:t>
      </w:r>
      <w:r>
        <w:t xml:space="preserve">The following sections detail the calculations for each lifecycle stage and their categorization under the GHG Protocol.</w:t>
      </w:r>
      <w:r>
        <w:t xml:space="preserve"> </w:t>
      </w:r>
      <w:r>
        <w:t xml:space="preserve">Please note: Illustrative emission factors are used where specific primary data was not provided and should be replaced</w:t>
      </w:r>
      <w:r>
        <w:t xml:space="preserve"> </w:t>
      </w:r>
      <w:r>
        <w:t xml:space="preserve">with actual data from databases like Ecoinvent or DEFRA for a production-ready report.</w:t>
      </w:r>
    </w:p>
    <w:bookmarkStart w:id="30" w:name="ghg-protocol-categorization"/>
    <w:p>
      <w:pPr>
        <w:pStyle w:val="Heading3"/>
      </w:pPr>
      <w:r>
        <w:t xml:space="preserve">GHG Protocol Categorization</w:t>
      </w:r>
    </w:p>
    <w:p>
      <w:pPr>
        <w:numPr>
          <w:ilvl w:val="0"/>
          <w:numId w:val="1006"/>
        </w:numPr>
        <w:pStyle w:val="Compact"/>
      </w:pPr>
      <w:r>
        <w:rPr>
          <w:bCs/>
          <w:b/>
        </w:rPr>
        <w:t xml:space="preserve">Scope 1: Direct Emissions</w:t>
      </w:r>
      <w:r>
        <w:t xml:space="preserve"> </w:t>
      </w:r>
      <w:r>
        <w:t xml:space="preserve">(e.g., from owned or controlled sources like company vehicles, on-site fuel combustion). For a product PCF, direct emissions typically refer to manufacturing processes on-site not covered by purchased electricity.</w:t>
      </w:r>
    </w:p>
    <w:p>
      <w:pPr>
        <w:numPr>
          <w:ilvl w:val="0"/>
          <w:numId w:val="1006"/>
        </w:numPr>
        <w:pStyle w:val="Compact"/>
      </w:pPr>
      <w:r>
        <w:rPr>
          <w:bCs/>
          <w:b/>
        </w:rPr>
        <w:t xml:space="preserve">Scope 2: Indirect Emissions from Purchased Energy</w:t>
      </w:r>
      <w:r>
        <w:t xml:space="preserve"> </w:t>
      </w:r>
      <w:r>
        <w:t xml:space="preserve">(e.g., electricity, heat, steam, cooling). This primarily covers the emissions from purchased electricity used in manufacturing.</w:t>
      </w:r>
    </w:p>
    <w:p>
      <w:pPr>
        <w:numPr>
          <w:ilvl w:val="0"/>
          <w:numId w:val="1006"/>
        </w:numPr>
        <w:pStyle w:val="Compact"/>
      </w:pPr>
      <w:r>
        <w:rPr>
          <w:bCs/>
          <w:b/>
        </w:rPr>
        <w:t xml:space="preserve">Scope 3: Other Indirect Emissions (Value Chain)</w:t>
      </w:r>
      <w:r>
        <w:t xml:space="preserve"> </w:t>
      </w:r>
      <w:r>
        <w:t xml:space="preserve">(e.g., purchased goods and services, capital goods, fuel- and energy-related activities not included in Scope 1 or Scope 2, upstream transportation and distribution, waste generated in operations, business travel, employee commuting, downstream transportation and distribution, processing of sold products, use of sold products, end-of-life treatment of sold products, franchised, investments). This scope constitutes the majority of a product\'s footprint.</w:t>
      </w:r>
    </w:p>
    <w:bookmarkEnd w:id="30"/>
    <w:bookmarkStart w:id="31" w:name="X7fc55497565ff523e22dc118b8185658f7b9ce1"/>
    <w:p>
      <w:pPr>
        <w:pStyle w:val="Heading3"/>
      </w:pPr>
      <w:r>
        <w:t xml:space="preserve">Application of 2026 Land Sector and Removals (LSR) Standard</w:t>
      </w:r>
    </w:p>
    <w:p>
      <w:pPr>
        <w:pStyle w:val="FirstParagraph"/>
      </w:pPr>
      <w:r>
        <w:t xml:space="preserve">In line with the 2026 LSR update, this analysis considers potential land use change impacts and carbon removals</w:t>
      </w:r>
      <w:r>
        <w:t xml:space="preserve"> </w:t>
      </w:r>
      <w:r>
        <w:t xml:space="preserve">associated with the product\'s lifecycle. While specific data for land use change are not provided in the BOM,</w:t>
      </w:r>
      <w:r>
        <w:t xml:space="preserve"> </w:t>
      </w:r>
      <w:r>
        <w:t xml:space="preserve">the methodology accounts for incorporating such data if available, particularly concerning bio-based materials</w:t>
      </w:r>
      <w:r>
        <w:t xml:space="preserve"> </w:t>
      </w:r>
      <w:r>
        <w:t xml:space="preserve">or processes with significant land footprint. Any biogenic carbon removals would be reported separately in adherence to the LSR Standard.</w:t>
      </w:r>
      <w:r>
        <w:t xml:space="preserve"> </w:t>
      </w:r>
      <w:r>
        <w:t xml:space="preserve">For this report, without explicit LSR data, potential impacts are acknowledged but not quantified.</w:t>
      </w:r>
    </w:p>
    <w:bookmarkEnd w:id="31"/>
    <w:bookmarkStart w:id="37" w:name="scope-3-compliance"/>
    <w:p>
      <w:pPr>
        <w:pStyle w:val="Heading3"/>
      </w:pPr>
      <w:r>
        <w:t xml:space="preserve">Scope 3 Compliance</w:t>
      </w:r>
    </w:p>
    <w:p>
      <w:pPr>
        <w:pStyle w:val="FirstParagraph"/>
      </w:pPr>
      <w:r>
        <w:t xml:space="preserve">This analysis aims for at least 95% coverage for Scope 3 reporting, as per 2026 requirements.</w:t>
      </w:r>
      <w:r>
        <w:t xml:space="preserve"> </w:t>
      </w:r>
      <w:r>
        <w:t xml:space="preserve">The detailed BOM, logistics, use phase, and end-of-life data are critical in achieving this comprehensive coverage.</w:t>
      </w:r>
    </w:p>
    <w:bookmarkStart w:id="32" w:name="X1198c8af25dd1a2ebffa686809674f976343a37"/>
    <w:p>
      <w:pPr>
        <w:pStyle w:val="Heading4"/>
      </w:pPr>
      <w:r>
        <w:t xml:space="preserve">Material Acquisition &amp; Pre-processing (Scope 3 - Upstream)</w:t>
      </w:r>
    </w:p>
    <w:p>
      <w:pPr>
        <w:pStyle w:val="FirstParagraph"/>
      </w:pPr>
      <w:r>
        <w:t xml:space="preserve">Emissions from raw material extraction, processing, and manufacturing of components.</w:t>
      </w:r>
    </w:p>
    <w:p>
      <w:pPr>
        <w:pStyle w:val="BodyText"/>
      </w:pPr>
      <w:r>
        <w:rPr>
          <w:bCs/>
          <w:b/>
        </w:rPr>
        <w:t xml:space="preserve">Total Material Emissions:</w:t>
      </w:r>
      <w:r>
        <w:t xml:space="preserve"> </w:t>
      </w:r>
      <w:r>
        <w:t xml:space="preserve">400.00 kg CO2e</w:t>
      </w:r>
    </w:p>
    <w:bookmarkEnd w:id="32"/>
    <w:bookmarkStart w:id="33" w:name="Xff65fae92a213ff91a6f5471c0a550e54cd16b9"/>
    <w:p>
      <w:pPr>
        <w:pStyle w:val="Heading4"/>
      </w:pPr>
      <w:r>
        <w:t xml:space="preserve">Manufacturing/Production (Scope 2 &amp; Scope 3 - Upstream)</w:t>
      </w:r>
    </w:p>
    <w:p>
      <w:pPr>
        <w:pStyle w:val="FirstParagraph"/>
      </w:pPr>
      <w:r>
        <w:t xml:space="preserve">Emissions from energy consumed during the manufacturing process.</w:t>
      </w:r>
    </w:p>
    <w:p>
      <w:pPr>
        <w:pStyle w:val="BodyText"/>
      </w:pPr>
      <w:r>
        <w:rPr>
          <w:bCs/>
          <w:b/>
        </w:rPr>
        <w:t xml:space="preserve">Purchased Grid Electricity Emissions (Scope 2):</w:t>
      </w:r>
      <w:r>
        <w:t xml:space="preserve"> </w:t>
      </w:r>
      <w:r>
        <w:t xml:space="preserve">4.00 kg CO2e</w:t>
      </w:r>
    </w:p>
    <w:p>
      <w:pPr>
        <w:pStyle w:val="BodyText"/>
      </w:pPr>
      <w:r>
        <w:rPr>
          <w:bCs/>
          <w:b/>
        </w:rPr>
        <w:t xml:space="preserve">Renewable Energy Upstream Emissions (Scope 3):</w:t>
      </w:r>
      <w:r>
        <w:t xml:space="preserve"> </w:t>
      </w:r>
      <w:r>
        <w:t xml:space="preserve">0.15 kg CO2e</w:t>
      </w:r>
    </w:p>
    <w:p>
      <w:pPr>
        <w:pStyle w:val="BodyText"/>
      </w:pPr>
      <w:r>
        <w:rPr>
          <w:bCs/>
          <w:b/>
        </w:rPr>
        <w:t xml:space="preserve">Total Production Energy Emissions:</w:t>
      </w:r>
      <w:r>
        <w:t xml:space="preserve"> </w:t>
      </w:r>
      <w:r>
        <w:t xml:space="preserve">4.15 kg CO2e</w:t>
      </w:r>
    </w:p>
    <w:bookmarkEnd w:id="33"/>
    <w:bookmarkStart w:id="34" w:name="Xc78fa9e95fdc5a4841e5055035e97eb6a5c3c11"/>
    <w:p>
      <w:pPr>
        <w:pStyle w:val="Heading4"/>
      </w:pPr>
      <w:r>
        <w:t xml:space="preserve">Transport &amp; Distribution (Scope 3 - Upstream &amp; Downstream)</w:t>
      </w:r>
    </w:p>
    <w:p>
      <w:pPr>
        <w:pStyle w:val="FirstParagraph"/>
      </w:pPr>
      <w:r>
        <w:t xml:space="preserve">Emissions from transporting raw materials to the factory and finished products to the customer.</w:t>
      </w:r>
    </w:p>
    <w:p>
      <w:pPr>
        <w:pStyle w:val="BodyText"/>
      </w:pPr>
      <w:r>
        <w:rPr>
          <w:bCs/>
          <w:b/>
        </w:rPr>
        <w:t xml:space="preserve">Transport Emissions:</w:t>
      </w:r>
      <w:r>
        <w:t xml:space="preserve"> </w:t>
      </w:r>
      <w:r>
        <w:t xml:space="preserve">20.40 kg CO2e</w:t>
      </w:r>
    </w:p>
    <w:bookmarkEnd w:id="34"/>
    <w:bookmarkStart w:id="35" w:name="product-use-phase-scope-3---downstream"/>
    <w:p>
      <w:pPr>
        <w:pStyle w:val="Heading4"/>
      </w:pPr>
      <w:r>
        <w:t xml:space="preserve">Product Use Phase (Scope 3 - Downstream)</w:t>
      </w:r>
    </w:p>
    <w:p>
      <w:pPr>
        <w:pStyle w:val="FirstParagraph"/>
      </w:pPr>
      <w:r>
        <w:t xml:space="preserve">Emissions generated during the product\'s expected lifespan due to energy consumption.</w:t>
      </w:r>
    </w:p>
    <w:p>
      <w:pPr>
        <w:pStyle w:val="BodyText"/>
      </w:pPr>
      <w:r>
        <w:rPr>
          <w:bCs/>
          <w:b/>
        </w:rPr>
        <w:t xml:space="preserve">Use Phase Emissions:</w:t>
      </w:r>
      <w:r>
        <w:t xml:space="preserve"> </w:t>
      </w:r>
      <w:r>
        <w:t xml:space="preserve">84.00 kg CO2e</w:t>
      </w:r>
    </w:p>
    <w:bookmarkEnd w:id="35"/>
    <w:bookmarkStart w:id="36" w:name="Xac8faad78128a5ec4298340ff70b88499018023"/>
    <w:p>
      <w:pPr>
        <w:pStyle w:val="Heading4"/>
      </w:pPr>
      <w:r>
        <w:t xml:space="preserve">End-of-Life (EoL) Treatment (Scope 3 - Downstream)</w:t>
      </w:r>
    </w:p>
    <w:p>
      <w:pPr>
        <w:pStyle w:val="FirstParagraph"/>
      </w:pPr>
      <w:r>
        <w:t xml:space="preserve">Emissions from the disposal, recycling, or recovery of the product at the end of its life.</w:t>
      </w:r>
    </w:p>
    <w:p>
      <w:pPr>
        <w:pStyle w:val="BodyText"/>
      </w:pPr>
      <w:r>
        <w:rPr>
          <w:bCs/>
          <w:b/>
        </w:rPr>
        <w:t xml:space="preserve">End-of-Life Emissions:</w:t>
      </w:r>
      <w:r>
        <w:t xml:space="preserve"> </w:t>
      </w:r>
      <w:r>
        <w:t xml:space="preserve">21.25 kg CO2e</w:t>
      </w:r>
    </w:p>
    <w:bookmarkEnd w:id="36"/>
    <w:bookmarkEnd w:id="37"/>
    <w:bookmarkStart w:id="38" w:name="X09f47265a7b5ea2fbc101f139fd692c8f2c5dbd"/>
    <w:p>
      <w:pPr>
        <w:pStyle w:val="Heading3"/>
      </w:pPr>
      <w:r>
        <w:t xml:space="preserve">Total Product Carbon Footprint (PCF) for xjnisumtgo</w:t>
      </w:r>
    </w:p>
    <w:p>
      <w:pPr>
        <w:pStyle w:val="FirstParagraph"/>
      </w:pPr>
      <w:r>
        <w:t xml:space="preserve">The sum of emissions across all lifecycle stages.</w:t>
      </w:r>
    </w:p>
    <w:p>
      <w:pPr>
        <w:pStyle w:val="BodyText"/>
      </w:pPr>
      <w:r>
        <w:t xml:space="preserve">Total PCF: 529.80 kg CO2e</w:t>
      </w:r>
    </w:p>
    <w:bookmarkEnd w:id="38"/>
    <w:bookmarkStart w:id="39"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Operations (negligible in this PCF analysis without specific data)</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4.00</w:t>
            </w:r>
          </w:p>
        </w:tc>
        <w:tc>
          <w:tcPr/>
          <w:p>
            <w:pPr>
              <w:pStyle w:val="Compact"/>
              <w:jc w:val="left"/>
            </w:pPr>
            <w:r>
              <w:t xml:space="preserve">0.75%</w:t>
            </w:r>
          </w:p>
        </w:tc>
      </w:tr>
      <w:tr>
        <w:tc>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400.00</w:t>
            </w:r>
          </w:p>
        </w:tc>
        <w:tc>
          <w:tcPr/>
          <w:p>
            <w:pPr>
              <w:pStyle w:val="Compact"/>
              <w:jc w:val="left"/>
            </w:pPr>
            <w:r>
              <w:t xml:space="preserve">75.50%</w:t>
            </w:r>
          </w:p>
        </w:tc>
      </w:tr>
      <w:tr>
        <w:tc>
          <w:tcPr/>
          <w:p>
            <w:pPr>
              <w:pStyle w:val="Compact"/>
              <w:jc w:val="left"/>
            </w:pPr>
            <w:r>
              <w:t xml:space="preserve">Scope 3</w:t>
            </w:r>
          </w:p>
        </w:tc>
        <w:tc>
          <w:tcPr/>
          <w:p>
            <w:pPr>
              <w:pStyle w:val="Compact"/>
              <w:jc w:val="left"/>
            </w:pPr>
            <w:r>
              <w:t xml:space="preserve">Renewable Energy Upstream Emissions</w:t>
            </w:r>
          </w:p>
        </w:tc>
        <w:tc>
          <w:tcPr/>
          <w:p>
            <w:pPr>
              <w:pStyle w:val="Compact"/>
              <w:jc w:val="left"/>
            </w:pPr>
            <w:r>
              <w:t xml:space="preserve">0.15</w:t>
            </w:r>
          </w:p>
        </w:tc>
        <w:tc>
          <w:tcPr/>
          <w:p>
            <w:pPr>
              <w:pStyle w:val="Compact"/>
              <w:jc w:val="left"/>
            </w:pPr>
            <w:r>
              <w:t xml:space="preserve">0.03%</w:t>
            </w:r>
          </w:p>
        </w:tc>
      </w:tr>
      <w:tr>
        <w:tc>
          <w:tcPr/>
          <w:p>
            <w:pPr>
              <w:pStyle w:val="Compact"/>
              <w:jc w:val="left"/>
            </w:pPr>
            <w:r>
              <w:t xml:space="preserve">Scope 3</w:t>
            </w:r>
          </w:p>
        </w:tc>
        <w:tc>
          <w:tcPr/>
          <w:p>
            <w:pPr>
              <w:pStyle w:val="Compact"/>
              <w:jc w:val="left"/>
            </w:pPr>
            <w:r>
              <w:t xml:space="preserve">Transport &amp; Distribution</w:t>
            </w:r>
          </w:p>
        </w:tc>
        <w:tc>
          <w:tcPr/>
          <w:p>
            <w:pPr>
              <w:pStyle w:val="Compact"/>
              <w:jc w:val="left"/>
            </w:pPr>
            <w:r>
              <w:t xml:space="preserve">20.40</w:t>
            </w:r>
          </w:p>
        </w:tc>
        <w:tc>
          <w:tcPr/>
          <w:p>
            <w:pPr>
              <w:pStyle w:val="Compact"/>
              <w:jc w:val="left"/>
            </w:pPr>
            <w:r>
              <w:t xml:space="preserve">3.85%</w:t>
            </w:r>
          </w:p>
        </w:tc>
      </w:tr>
      <w:tr>
        <w:tc>
          <w:tcPr/>
          <w:p>
            <w:pPr>
              <w:pStyle w:val="Compact"/>
              <w:jc w:val="left"/>
            </w:pPr>
            <w:r>
              <w:t xml:space="preserve">Scope 3</w:t>
            </w:r>
          </w:p>
        </w:tc>
        <w:tc>
          <w:tcPr/>
          <w:p>
            <w:pPr>
              <w:pStyle w:val="Compact"/>
              <w:jc w:val="left"/>
            </w:pPr>
            <w:r>
              <w:t xml:space="preserve">Product Use Phase</w:t>
            </w:r>
          </w:p>
        </w:tc>
        <w:tc>
          <w:tcPr/>
          <w:p>
            <w:pPr>
              <w:pStyle w:val="Compact"/>
              <w:jc w:val="left"/>
            </w:pPr>
            <w:r>
              <w:t xml:space="preserve">84.00</w:t>
            </w:r>
          </w:p>
        </w:tc>
        <w:tc>
          <w:tcPr/>
          <w:p>
            <w:pPr>
              <w:pStyle w:val="Compact"/>
              <w:jc w:val="left"/>
            </w:pPr>
            <w:r>
              <w:t xml:space="preserve">15.86%</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21.25</w:t>
            </w:r>
          </w:p>
        </w:tc>
        <w:tc>
          <w:tcPr/>
          <w:p>
            <w:pPr>
              <w:pStyle w:val="Compact"/>
              <w:jc w:val="left"/>
            </w:pPr>
            <w:r>
              <w:t xml:space="preserve">4.01%</w:t>
            </w:r>
          </w:p>
        </w:tc>
      </w:tr>
      <w:tr>
        <w:tc>
          <w:tcPr>
            <w:gridSpan w:val="2"/>
          </w:tcPr>
          <w:p>
            <w:pPr>
              <w:pStyle w:val="Compact"/>
              <w:jc w:val="left"/>
            </w:pPr>
            <w:r>
              <w:t xml:space="preserve">Total PCF</w:t>
            </w:r>
          </w:p>
        </w:tc>
        <w:tc>
          <w:tcPr/>
          <w:p>
            <w:pPr>
              <w:pStyle w:val="Compact"/>
              <w:jc w:val="left"/>
            </w:pPr>
            <w:r>
              <w:t xml:space="preserve">529.80</w:t>
            </w:r>
          </w:p>
        </w:tc>
        <w:tc>
          <w:tcPr/>
          <w:p>
            <w:pPr>
              <w:pStyle w:val="Compact"/>
              <w:jc w:val="left"/>
            </w:pPr>
            <w: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preliminary calculations, the primary carbon hotspots for xjnisumtgo are identified as:</w:t>
      </w:r>
    </w:p>
    <w:p>
      <w:pPr>
        <w:numPr>
          <w:ilvl w:val="0"/>
          <w:numId w:val="1007"/>
        </w:numPr>
        <w:pStyle w:val="Compact"/>
      </w:pPr>
      <w:r>
        <w:rPr>
          <w:bCs/>
          <w:b/>
        </w:rPr>
        <w:t xml:space="preserve">Material Acquisition (75.50%):</w:t>
      </w:r>
      <w:r>
        <w:t xml:space="preserve"> </w:t>
      </w:r>
      <w:r>
        <w:t xml:space="preserve">This is the dominant hotspot, largely due to the specific high-impact materials like Aluminum Alloy and Copper Wire identified in the BOM.</w:t>
      </w:r>
    </w:p>
    <w:p>
      <w:pPr>
        <w:numPr>
          <w:ilvl w:val="0"/>
          <w:numId w:val="1007"/>
        </w:numPr>
        <w:pStyle w:val="Compact"/>
      </w:pPr>
      <w:r>
        <w:rPr>
          <w:bCs/>
          <w:b/>
        </w:rPr>
        <w:t xml:space="preserve">Product Use Phase (15.86%):</w:t>
      </w:r>
      <w:r>
        <w:t xml:space="preserve"> </w:t>
      </w:r>
      <w:r>
        <w:t xml:space="preserve">The energy consumption over the product\'s lifespan is a significant contributor, especially given the assumed grid electricity mix.</w:t>
      </w:r>
    </w:p>
    <w:p>
      <w:pPr>
        <w:numPr>
          <w:ilvl w:val="0"/>
          <w:numId w:val="1007"/>
        </w:numPr>
        <w:pStyle w:val="Compact"/>
      </w:pPr>
      <w:r>
        <w:rPr>
          <w:bCs/>
          <w:b/>
        </w:rPr>
        <w:t xml:space="preserve">End-of-Life Treatment (4.01%):</w:t>
      </w:r>
      <w:r>
        <w:t xml:space="preserve"> </w:t>
      </w:r>
      <w:r>
        <w:t xml:space="preserve">While recyclability is high, the non-recyclable portion still contributes to emissions.</w:t>
      </w:r>
    </w:p>
    <w:bookmarkEnd w:id="41"/>
    <w:bookmarkStart w:id="42" w:name="reliability-and-limitations"/>
    <w:p>
      <w:pPr>
        <w:pStyle w:val="Heading3"/>
      </w:pPr>
      <w:r>
        <w:t xml:space="preserve">Reliability and Limitations</w:t>
      </w:r>
    </w:p>
    <w:p>
      <w:pPr>
        <w:pStyle w:val="FirstParagraph"/>
      </w:pPr>
      <w:r>
        <w:t xml:space="preserve">The reliability of this PCF analysis is highly dependent on the quality and specificity of the input data.</w:t>
      </w:r>
      <w:r>
        <w:t xml:space="preserve"> </w:t>
      </w:r>
      <w:r>
        <w:t xml:space="preserve">Key limitations include:</w:t>
      </w:r>
    </w:p>
    <w:p>
      <w:pPr>
        <w:numPr>
          <w:ilvl w:val="0"/>
          <w:numId w:val="1008"/>
        </w:numPr>
        <w:pStyle w:val="Compact"/>
      </w:pPr>
      <w:r>
        <w:rPr>
          <w:bCs/>
          <w:b/>
        </w:rPr>
        <w:t xml:space="preserve">Illustrative Emission Factors:</w:t>
      </w:r>
      <w:r>
        <w:t xml:space="preserve"> </w:t>
      </w:r>
      <w:r>
        <w:t xml:space="preserve">Many emission factors, especially for transport, use phase, and EoL, are illustrative due to the lack of specific primary data. A higher level of accuracy would require country-specific and technology-specific emission factors from robust databases like Ecoinvent or DEFRA.</w:t>
      </w:r>
    </w:p>
    <w:p>
      <w:pPr>
        <w:numPr>
          <w:ilvl w:val="0"/>
          <w:numId w:val="1008"/>
        </w:numPr>
        <w:pStyle w:val="Compact"/>
      </w:pPr>
      <w:r>
        <w:rPr>
          <w:bCs/>
          <w:b/>
        </w:rPr>
        <w:t xml:space="preserve">Data Gaps:</w:t>
      </w:r>
      <w:r>
        <w:t xml:space="preserve"> </w:t>
      </w:r>
      <w:r>
        <w:t xml:space="preserve">Assumptions were made for certain parameters (e.g., specific details of circular programs\' impact) where explicit data was not provided.</w:t>
      </w:r>
    </w:p>
    <w:p>
      <w:pPr>
        <w:numPr>
          <w:ilvl w:val="0"/>
          <w:numId w:val="1008"/>
        </w:numPr>
        <w:pStyle w:val="Compact"/>
      </w:pPr>
      <w:r>
        <w:rPr>
          <w:bCs/>
          <w:b/>
        </w:rPr>
        <w:t xml:space="preserve">Dynamic Nature:</w:t>
      </w:r>
      <w:r>
        <w:t xml:space="preserve"> </w:t>
      </w:r>
      <w:r>
        <w:t xml:space="preserve">Carbon footprints are dynamic and subject to changes in supply chain, energy mixes, and manufacturing processes.</w:t>
      </w:r>
    </w:p>
    <w:bookmarkEnd w:id="42"/>
    <w:bookmarkStart w:id="43" w:name="recommendations-for-reduction"/>
    <w:p>
      <w:pPr>
        <w:pStyle w:val="Heading3"/>
      </w:pPr>
      <w:r>
        <w:t xml:space="preserve">Recommendations for Reduction</w:t>
      </w:r>
    </w:p>
    <w:p>
      <w:pPr>
        <w:numPr>
          <w:ilvl w:val="0"/>
          <w:numId w:val="1009"/>
        </w:numPr>
        <w:pStyle w:val="Compact"/>
      </w:pPr>
      <w:r>
        <w:rPr>
          <w:bCs/>
          <w:b/>
        </w:rPr>
        <w:t xml:space="preserve">Material Optimization:</w:t>
      </w:r>
      <w:r>
        <w:t xml:space="preserve"> </w:t>
      </w:r>
      <w:r>
        <w:t xml:space="preserve">Investigate opportunities for using lower-carbon alternatives, increasing the recycled content of high-impact materials (Aluminum, Copper), or optimizing material usage to reduce quantity.</w:t>
      </w:r>
    </w:p>
    <w:p>
      <w:pPr>
        <w:numPr>
          <w:ilvl w:val="0"/>
          <w:numId w:val="1009"/>
        </w:numPr>
        <w:pStyle w:val="Compact"/>
      </w:pPr>
      <w:r>
        <w:rPr>
          <w:bCs/>
          <w:b/>
        </w:rPr>
        <w:t xml:space="preserve">Energy Efficiency:</w:t>
      </w:r>
      <w:r>
        <w:t xml:space="preserve"> </w:t>
      </w:r>
      <w:r>
        <w:t xml:space="preserve">Enhance energy efficiency in manufacturing processes and further increase the percentage of renewable energy used beyond the current 60%.</w:t>
      </w:r>
    </w:p>
    <w:p>
      <w:pPr>
        <w:numPr>
          <w:ilvl w:val="0"/>
          <w:numId w:val="1009"/>
        </w:numPr>
        <w:pStyle w:val="Compact"/>
      </w:pPr>
      <w:r>
        <w:rPr>
          <w:bCs/>
          <w:b/>
        </w:rPr>
        <w:t xml:space="preserve">Use Phase Design:</w:t>
      </w:r>
      <w:r>
        <w:t xml:space="preserve"> </w:t>
      </w:r>
      <w:r>
        <w:t xml:space="preserve">Design for lower energy consumption during the product\'s use phase, or explore smart energy management features to minimize reliance on grid electricity.</w:t>
      </w:r>
    </w:p>
    <w:p>
      <w:pPr>
        <w:numPr>
          <w:ilvl w:val="0"/>
          <w:numId w:val="1009"/>
        </w:numPr>
        <w:pStyle w:val="Compact"/>
      </w:pPr>
      <w:r>
        <w:rPr>
          <w:bCs/>
          <w:b/>
        </w:rPr>
        <w:t xml:space="preserve">Circular Economy:</w:t>
      </w:r>
      <w:r>
        <w:t xml:space="preserve"> </w:t>
      </w:r>
      <w:r>
        <w:t xml:space="preserve">Strengthen the provided \'gyqnpttifi\' take-back programs and explore innovative recycling technologies to maximize material recovery and minimize waste at End-of-Life.</w:t>
      </w:r>
    </w:p>
    <w:p>
      <w:pPr>
        <w:numPr>
          <w:ilvl w:val="0"/>
          <w:numId w:val="1009"/>
        </w:numPr>
        <w:pStyle w:val="Compact"/>
      </w:pPr>
      <w:r>
        <w:rPr>
          <w:bCs/>
          <w:b/>
        </w:rPr>
        <w:t xml:space="preserve">Supply Chain Engagement:</w:t>
      </w:r>
      <w:r>
        <w:t xml:space="preserve"> </w:t>
      </w:r>
      <w:r>
        <w:t xml:space="preserve">Work closely with suppliers to reduce their emissions, especially for raw material production and upstream transportation.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xjnisumtgo</dc:title>
  <dc:creator/>
  <dc:description>Detailed Product Carbon Footprint (PCF) analysis report for xjnisumtgo, following GHG Protocol standards, for company tnerllfkrv.</dc:description>
  <dc:language>en</dc:language>
  <cp:keywords/>
  <dcterms:created xsi:type="dcterms:W3CDTF">2026-05-30T20:52:10Z</dcterms:created>
  <dcterms:modified xsi:type="dcterms:W3CDTF">2026-05-30T20:52:10Z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