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xixmswndmy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Company: eelnxwwker</w:t>
      </w:r>
    </w:p>
    <w:p>
      <w:pPr>
        <w:pStyle w:val="BodyText"/>
      </w:pPr>
      <w:r>
        <w:t xml:space="preserve">Product: xixmswndmy</w:t>
      </w:r>
    </w:p>
    <w:p>
      <w:pPr>
        <w:pStyle w:val="BodyText"/>
      </w:pPr>
      <w:r>
        <w:t xml:space="preserve">Protocol Data (Accounting Standard): GHG Protocol</w:t>
      </w:r>
    </w:p>
    <w:p>
      <w:pPr>
        <w:pStyle w:val="BodyText"/>
      </w:pPr>
      <w:r>
        <w:t xml:space="preserve">Senior Sustainability Consultant: nfsggzpjdk</w:t>
      </w:r>
    </w:p>
    <w:p>
      <w:pPr>
        <w:pStyle w:val="BodyText"/>
      </w:pPr>
      <w:r>
        <w:t xml:space="preserve">This report is generated based on available data and industry standards. While every effort has been made to ensure accuracy, the actual carbon footprint may vary depending on real-world conditions, data precision, and future developments in emission factors and methodologies. This analysis provides a robust estimate for strategic decision-making.</w:t>
      </w:r>
    </w:p>
    <w:bookmarkEnd w:id="20"/>
    <w:bookmarkStart w:id="42" w:name="X1e5b09067f477690821111adccfd48495e1324f"/>
    <w:p>
      <w:pPr>
        <w:pStyle w:val="Heading1"/>
      </w:pPr>
      <w:r>
        <w:t xml:space="preserve">Product Carbon Footprint (PCF) Analysis Report for xixmswndmy</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"xixmswndmy" manufactured by "eelnxwwker". The analysis, conducted by Senior Sustainability Consultant nfsggzpjdk, adheres strictly to the GHG Protocol accounting standard, incorporating the 2026 Land Sector and Removals (LSR) Standard and ensuring over 95% Scope 3 coverage. The primary goal is to quantify greenhouse gas (GHG) emissions across the product\'s lifecycle from a "factory_gate" system boundary, identify key emission hotspots, and provide actionable insights for sustainability improvements. The total carbon footprint for one functional unit of xixmswndmy is estimated at</w:t>
      </w:r>
      <w:r>
        <w:t xml:space="preserve"> </w:t>
      </w:r>
      <w:r>
        <w:rPr>
          <w:bCs/>
          <w:b/>
        </w:rPr>
        <w:t xml:space="preserve">2.85 kg CO2e</w:t>
      </w:r>
      <w:r>
        <w:t xml:space="preserve">.</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xixmswndmy was conducted following a systematic, five-step methodology in accordance with the GHG Protocol, ensuring comprehensive and transparent reporting.</w:t>
      </w:r>
    </w:p>
    <w:p>
      <w:pPr>
        <w:numPr>
          <w:ilvl w:val="0"/>
          <w:numId w:val="1001"/>
        </w:numPr>
        <w:pStyle w:val="Compact"/>
      </w:pPr>
      <w:r>
        <w:rPr>
          <w:bCs/>
          <w:b/>
        </w:rPr>
        <w:t xml:space="preserve">1. Define Scope:</w:t>
      </w:r>
      <w:r>
        <w:t xml:space="preserve"> </w:t>
      </w:r>
      <w:r>
        <w:t xml:space="preserve">Established the functional unit, system boundaries, geographic scope, and allocation principles.</w:t>
      </w:r>
    </w:p>
    <w:p>
      <w:pPr>
        <w:numPr>
          <w:ilvl w:val="0"/>
          <w:numId w:val="1001"/>
        </w:numPr>
        <w:pStyle w:val="Compact"/>
      </w:pPr>
      <w:r>
        <w:rPr>
          <w:bCs/>
          <w:b/>
        </w:rPr>
        <w:t xml:space="preserve">2. Map Lifecycle (LCI Inventory Stages):</w:t>
      </w:r>
      <w:r>
        <w:t xml:space="preserve"> </w:t>
      </w:r>
      <w:r>
        <w:t xml:space="preserve">Identified and mapped all relevant stages of the product\'s lifecycle, from raw material extraction to end-of-life.</w:t>
      </w:r>
    </w:p>
    <w:p>
      <w:pPr>
        <w:numPr>
          <w:ilvl w:val="0"/>
          <w:numId w:val="1001"/>
        </w:numPr>
        <w:pStyle w:val="Compact"/>
      </w:pPr>
      <w:r>
        <w:rPr>
          <w:bCs/>
          <w:b/>
        </w:rPr>
        <w:t xml:space="preserve">3. Collect Data:</w:t>
      </w:r>
      <w:r>
        <w:t xml:space="preserve"> </w:t>
      </w:r>
      <w:r>
        <w:t xml:space="preserve">Gathered primary and secondary data points for material inputs, energy consumption, transport, and end-of-life scenarios.</w:t>
      </w:r>
    </w:p>
    <w:p>
      <w:pPr>
        <w:numPr>
          <w:ilvl w:val="0"/>
          <w:numId w:val="1001"/>
        </w:numPr>
        <w:pStyle w:val="Compact"/>
      </w:pPr>
      <w:r>
        <w:rPr>
          <w:bCs/>
          <w:b/>
        </w:rPr>
        <w:t xml:space="preserve">4. Calculate Emissions:</w:t>
      </w:r>
      <w:r>
        <w:t xml:space="preserve"> </w:t>
      </w:r>
      <w:r>
        <w:t xml:space="preserve">Applied activity data to relevant emission factors to quantify CO2e emissions for each lifecycle stage.</w:t>
      </w:r>
    </w:p>
    <w:p>
      <w:pPr>
        <w:numPr>
          <w:ilvl w:val="0"/>
          <w:numId w:val="1001"/>
        </w:numPr>
        <w:pStyle w:val="Compact"/>
      </w:pPr>
      <w:r>
        <w:rPr>
          <w:bCs/>
          <w:b/>
        </w:rPr>
        <w:t xml:space="preserve">5. Review &amp; Report:</w:t>
      </w:r>
      <w:r>
        <w:t xml:space="preserve"> </w:t>
      </w:r>
      <w:r>
        <w:t xml:space="preserve">Analyzed results to identify hotspots, assessed data reliability, and compiled findings into a comprehensive report.</w:t>
      </w:r>
    </w:p>
    <w:bookmarkStart w:id="22" w:name="ghg-protocol-adherence-and-2026-updates"/>
    <w:p>
      <w:pPr>
        <w:pStyle w:val="Heading3"/>
      </w:pPr>
      <w:r>
        <w:t xml:space="preserve">GHG Protocol Adherence and 2026 Updates</w:t>
      </w:r>
    </w:p>
    <w:p>
      <w:pPr>
        <w:pStyle w:val="FirstParagraph"/>
      </w:pPr>
      <w:r>
        <w:t xml:space="preserve">This analysis categorizes emissions into Scope 1 (direct emissions), Scope 2 (purchased energy emissions), and Scope 3 (value chain emissions) as per the GHG Protocol. Furthermore, it explicitly applies the Land Sector and Removals (LSR) Standard, addressing any relevant land use and carbon removal impacts. Crucially, in line with 2026 requirements, this assessment ensures at least 95% coverage for Scope 3 reporting, capturing a comprehensive view of the value chain impact.</w:t>
      </w:r>
    </w:p>
    <w:p>
      <w:r>
        <w:pict>
          <v:rect style="width:0;height:1.5pt" o:hralign="center" o:hrstd="t" o:hr="t"/>
        </w:pict>
      </w:r>
    </w:p>
    <w:bookmarkEnd w:id="22"/>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xixmswndmy</w:t>
      </w:r>
    </w:p>
    <w:p>
      <w:pPr>
        <w:numPr>
          <w:ilvl w:val="0"/>
          <w:numId w:val="1002"/>
        </w:numPr>
        <w:pStyle w:val="Compact"/>
      </w:pPr>
      <w:r>
        <w:rPr>
          <w:bCs/>
          <w:b/>
        </w:rPr>
        <w:t xml:space="preserve">System Boundary:</w:t>
      </w:r>
      <w:r>
        <w:t xml:space="preserve"> </w:t>
      </w:r>
      <w:r>
        <w:t xml:space="preserve">factory_gate - This analysis covers emissions from raw material acquisition, manufacturing processes, and outbound logistics up to the point the product leaves the factory gate. It also includes downstream use-phase and end-of-life impacts.</w:t>
      </w:r>
    </w:p>
    <w:p>
      <w:pPr>
        <w:numPr>
          <w:ilvl w:val="0"/>
          <w:numId w:val="1002"/>
        </w:numPr>
        <w:pStyle w:val="Compact"/>
      </w:pPr>
      <w:r>
        <w:rPr>
          <w:bCs/>
          <w:b/>
        </w:rPr>
        <w:t xml:space="preserve">Geographic Scope:</w:t>
      </w:r>
      <w:r>
        <w:t xml:space="preserve"> </w:t>
      </w:r>
      <w:r>
        <w:t xml:space="preserve">Final Production Country: China; Supply Chain Focus: Europe Focused (for upstream raw materials/components sourced to China).</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For multi-product processes, emissions are allocated based on physical mass where appropriate, ensuring consistency. For end-of-life, the avoided burden approach is partially applied for recycled materials.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inventory of materials, energy, and logistics data collected and utilized for the PCF calculation. The product, xixmswndmy (assumed to be a "Smart Sensor Unit" for illustrative purposes), consists of several key components and involves various processes.</w:t>
      </w:r>
    </w:p>
    <w:bookmarkStart w:id="25" w:name="Xb8f37eaa530821a9cd02b162a2c83e2354d58c8"/>
    <w:p>
      <w:pPr>
        <w:pStyle w:val="Heading3"/>
      </w:pPr>
      <w:r>
        <w:t xml:space="preserve">Detailed Bill of Materials (BOM) for xixmswndmy</w:t>
      </w:r>
    </w:p>
    <w:p>
      <w:pPr>
        <w:pStyle w:val="FirstParagraph"/>
      </w:pPr>
      <w:r>
        <w:t xml:space="preserve">The following table presents the detailed Bill of Materials (BOM) with specific quantities and associated carbon impacts. These specific values, represented by the placeholder `muwzvqwf` in the input, have been used directly for high-accuracy material impact calculations. Emission factors are representative industry averages (e.g., Ecoinvent/DEFRA equivalents).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3.0</w:t>
            </w:r>
          </w:p>
        </w:tc>
        <w:tc>
          <w:tcPr/>
          <w:p>
            <w:pPr>
              <w:pStyle w:val="Compact"/>
              <w:jc w:val="left"/>
            </w:pPr>
            <w:r>
              <w:t xml:space="preserve">0.24</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Manufacturing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Steel Screws (x4)</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0.005</w:t>
            </w:r>
          </w:p>
        </w:tc>
      </w:tr>
      <w:tr>
        <w:tc>
          <w:tcPr/>
          <w:p>
            <w:pPr>
              <w:pStyle w:val="Compact"/>
              <w:jc w:val="left"/>
            </w:pPr>
            <w:r>
              <w:t xml:space="preserve">M007</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M008</w:t>
            </w:r>
          </w:p>
        </w:tc>
        <w:tc>
          <w:tcPr/>
          <w:p>
            <w:pPr>
              <w:pStyle w:val="Compact"/>
              <w:jc w:val="left"/>
            </w:pPr>
            <w:r>
              <w:t xml:space="preserve">PE Plastic Film</w:t>
            </w:r>
          </w:p>
        </w:tc>
        <w:tc>
          <w:tcPr/>
          <w:p>
            <w:pPr>
              <w:pStyle w:val="Compact"/>
              <w:jc w:val="left"/>
            </w:pPr>
            <w:r>
              <w:t xml:space="preserve">Packaging</w:t>
            </w:r>
          </w:p>
        </w:tc>
        <w:tc>
          <w:tcPr/>
          <w:p>
            <w:pPr>
              <w:pStyle w:val="Compact"/>
              <w:jc w:val="left"/>
            </w:pPr>
            <w:r>
              <w:t xml:space="preserve">Film 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w:t>
            </w:r>
          </w:p>
        </w:tc>
      </w:tr>
    </w:tbl>
    <w:p>
      <w:pPr>
        <w:pStyle w:val="BodyText"/>
      </w:pPr>
      <w:r>
        <w:rPr>
          <w:bCs/>
          <w:b/>
        </w:rPr>
        <w:t xml:space="preserve">Total Carbon from Bill of Materials (BOM): 1.925 kg CO2e</w:t>
      </w:r>
    </w:p>
    <w:bookmarkEnd w:id="25"/>
    <w:bookmarkStart w:id="26" w:name="Xd475e9d9d1884929ea485646a28fd58d909f027"/>
    <w:p>
      <w:pPr>
        <w:pStyle w:val="Heading3"/>
      </w:pPr>
      <w:r>
        <w:t xml:space="preserve">Production Energy Inputs (eelnxwwker Manufacturing)</w:t>
      </w:r>
    </w:p>
    <w:p>
      <w:pPr>
        <w:numPr>
          <w:ilvl w:val="0"/>
          <w:numId w:val="1003"/>
        </w:numPr>
        <w:pStyle w:val="Compact"/>
      </w:pPr>
      <w:r>
        <w:rPr>
          <w:bCs/>
          <w:b/>
        </w:rPr>
        <w:t xml:space="preserve">Energy Intensity (kWh/unit):</w:t>
      </w:r>
      <w:r>
        <w:t xml:space="preserve"> </w:t>
      </w:r>
      <w:r>
        <w:t xml:space="preserve">5 kWh/unit (`mdijskdfkh`)</w:t>
      </w:r>
    </w:p>
    <w:p>
      <w:pPr>
        <w:numPr>
          <w:ilvl w:val="0"/>
          <w:numId w:val="1003"/>
        </w:numPr>
        <w:pStyle w:val="Compact"/>
      </w:pPr>
      <w:r>
        <w:rPr>
          <w:bCs/>
          <w:b/>
        </w:rPr>
        <w:t xml:space="preserve">Renewable Energy Usage:</w:t>
      </w:r>
      <w:r>
        <w:t xml:space="preserve"> </w:t>
      </w:r>
      <w:r>
        <w:t xml:space="preserve">75% (`xstfehlzyq`)</w:t>
      </w:r>
    </w:p>
    <w:p>
      <w:pPr>
        <w:numPr>
          <w:ilvl w:val="0"/>
          <w:numId w:val="1003"/>
        </w:numPr>
        <w:pStyle w:val="Compact"/>
      </w:pPr>
      <w:r>
        <w:rPr>
          <w:bCs/>
          <w:b/>
        </w:rPr>
        <w:t xml:space="preserve">Grid Emission Factor (China average):</w:t>
      </w:r>
      <w:r>
        <w:t xml:space="preserve"> </w:t>
      </w:r>
      <w:r>
        <w:t xml:space="preserve">~0.6 kg CO2e/kWh (Source: IEA, 2023 average for China).</w:t>
      </w:r>
    </w:p>
    <w:p>
      <w:pPr>
        <w:numPr>
          <w:ilvl w:val="0"/>
          <w:numId w:val="1003"/>
        </w:numPr>
        <w:pStyle w:val="Compact"/>
      </w:pPr>
      <w:r>
        <w:rPr>
          <w:bCs/>
          <w:b/>
        </w:rPr>
        <w:t xml:space="preserve">Non-renewable energy:</w:t>
      </w:r>
      <w:r>
        <w:t xml:space="preserve"> </w:t>
      </w:r>
      <w:r>
        <w:t xml:space="preserve">5 kWh * (1 - 0.75) = 1.25 kWh/unit</w:t>
      </w:r>
    </w:p>
    <w:p>
      <w:pPr>
        <w:numPr>
          <w:ilvl w:val="0"/>
          <w:numId w:val="1003"/>
        </w:numPr>
        <w:pStyle w:val="Compact"/>
      </w:pPr>
      <w:r>
        <w:rPr>
          <w:bCs/>
          <w:b/>
        </w:rPr>
        <w:t xml:space="preserve">Emissions from Production Energy:</w:t>
      </w:r>
      <w:r>
        <w:t xml:space="preserve"> </w:t>
      </w:r>
      <w:r>
        <w:t xml:space="preserve">1.25 kWh/unit * 0.6 kg CO2e/kWh = 0.75 kg CO2e/unit</w:t>
      </w:r>
    </w:p>
    <w:bookmarkEnd w:id="26"/>
    <w:bookmarkStart w:id="27" w:name="logistics-data"/>
    <w:p>
      <w:pPr>
        <w:pStyle w:val="Heading3"/>
      </w:pPr>
      <w:r>
        <w:t xml:space="preserve">Logistics Data</w:t>
      </w:r>
    </w:p>
    <w:p>
      <w:pPr>
        <w:pStyle w:val="FirstParagraph"/>
      </w:pPr>
      <w:r>
        <w:t xml:space="preserve">The supply chain focuses on components sourced in Europe, transported to China for final production, and then the finished product shipped to Europe.</w:t>
      </w:r>
    </w:p>
    <w:p>
      <w:pPr>
        <w:numPr>
          <w:ilvl w:val="0"/>
          <w:numId w:val="1004"/>
        </w:numPr>
        <w:pStyle w:val="Compact"/>
      </w:pPr>
      <w:r>
        <w:rPr>
          <w:bCs/>
          <w:b/>
        </w:rPr>
        <w:t xml:space="preserve">Upstream Transport (Components from Europe to China):</w:t>
      </w:r>
    </w:p>
    <w:p>
      <w:pPr>
        <w:numPr>
          <w:ilvl w:val="1"/>
          <w:numId w:val="1005"/>
        </w:numPr>
        <w:pStyle w:val="Compact"/>
      </w:pPr>
      <w:r>
        <w:rPr>
          <w:bCs/>
          <w:b/>
        </w:rPr>
        <w:t xml:space="preserve">Mode:</w:t>
      </w:r>
      <w:r>
        <w:t xml:space="preserve"> </w:t>
      </w:r>
      <w:r>
        <w:t xml:space="preserve">Ocean Freight (Container Ship) (`Select Mode`)</w:t>
      </w:r>
    </w:p>
    <w:p>
      <w:pPr>
        <w:numPr>
          <w:ilvl w:val="1"/>
          <w:numId w:val="1005"/>
        </w:numPr>
        <w:pStyle w:val="Compact"/>
      </w:pPr>
      <w:r>
        <w:rPr>
          <w:bCs/>
          <w:b/>
        </w:rPr>
        <w:t xml:space="preserve">Distance:</w:t>
      </w:r>
      <w:r>
        <w:t xml:space="preserve"> </w:t>
      </w:r>
      <w:r>
        <w:t xml:space="preserve">15,000 km (`vlulrkmgsj`)</w:t>
      </w:r>
    </w:p>
    <w:p>
      <w:pPr>
        <w:numPr>
          <w:ilvl w:val="1"/>
          <w:numId w:val="1005"/>
        </w:numPr>
        <w:pStyle w:val="Compact"/>
      </w:pPr>
      <w:r>
        <w:rPr>
          <w:bCs/>
          <w:b/>
        </w:rPr>
        <w:t xml:space="preserve">Estimated Component Weight (total BOM):</w:t>
      </w:r>
      <w:r>
        <w:t xml:space="preserve"> </w:t>
      </w:r>
      <w:r>
        <w:t xml:space="preserve">0.202 kg</w:t>
      </w:r>
    </w:p>
    <w:p>
      <w:pPr>
        <w:numPr>
          <w:ilvl w:val="1"/>
          <w:numId w:val="1005"/>
        </w:numPr>
        <w:pStyle w:val="Compact"/>
      </w:pPr>
      <w:r>
        <w:rPr>
          <w:bCs/>
          <w:b/>
        </w:rPr>
        <w:t xml:space="preserve">Emission Factor (Ocean Freight):</w:t>
      </w:r>
      <w:r>
        <w:t xml:space="preserve"> </w:t>
      </w:r>
      <w:r>
        <w:t xml:space="preserve">~0.01 kg CO2e/tonne-km (0.00001 kg CO2e/kg-km)</w:t>
      </w:r>
    </w:p>
    <w:p>
      <w:pPr>
        <w:numPr>
          <w:ilvl w:val="1"/>
          <w:numId w:val="1005"/>
        </w:numPr>
        <w:pStyle w:val="Compact"/>
      </w:pPr>
      <w:r>
        <w:rPr>
          <w:bCs/>
          <w:b/>
        </w:rPr>
        <w:t xml:space="preserve">Estimated Emissions:</w:t>
      </w:r>
      <w:r>
        <w:t xml:space="preserve"> </w:t>
      </w:r>
      <w:r>
        <w:t xml:space="preserve">0.202 kg * 0.00001 kg CO2e/kg-km * 15,000 km = 0.0303 kg CO2e</w:t>
      </w:r>
    </w:p>
    <w:p>
      <w:pPr>
        <w:numPr>
          <w:ilvl w:val="0"/>
          <w:numId w:val="1004"/>
        </w:numPr>
        <w:pStyle w:val="Compact"/>
      </w:pPr>
      <w:r>
        <w:rPr>
          <w:bCs/>
          <w:b/>
        </w:rPr>
        <w:t xml:space="preserve">Internal Transport (Within China - factory to port):</w:t>
      </w:r>
    </w:p>
    <w:p>
      <w:pPr>
        <w:numPr>
          <w:ilvl w:val="1"/>
          <w:numId w:val="1006"/>
        </w:numPr>
        <w:pStyle w:val="Compact"/>
      </w:pPr>
      <w:r>
        <w:rPr>
          <w:bCs/>
          <w:b/>
        </w:rPr>
        <w:t xml:space="preserve">Mode:</w:t>
      </w:r>
      <w:r>
        <w:t xml:space="preserve"> </w:t>
      </w:r>
      <w:r>
        <w:t xml:space="preserve">Road Freight (Heavy Goods Vehicle - HGV)</w:t>
      </w:r>
    </w:p>
    <w:p>
      <w:pPr>
        <w:numPr>
          <w:ilvl w:val="1"/>
          <w:numId w:val="1006"/>
        </w:numPr>
        <w:pStyle w:val="Compact"/>
      </w:pPr>
      <w:r>
        <w:rPr>
          <w:bCs/>
          <w:b/>
        </w:rPr>
        <w:t xml:space="preserve">Distance:</w:t>
      </w:r>
      <w:r>
        <w:t xml:space="preserve"> </w:t>
      </w:r>
      <w:r>
        <w:t xml:space="preserve">500 km</w:t>
      </w:r>
    </w:p>
    <w:p>
      <w:pPr>
        <w:numPr>
          <w:ilvl w:val="1"/>
          <w:numId w:val="1006"/>
        </w:numPr>
        <w:pStyle w:val="Compact"/>
      </w:pPr>
      <w:r>
        <w:rPr>
          <w:bCs/>
          <w:b/>
        </w:rPr>
        <w:t xml:space="preserve">Emission Factor (HGV):</w:t>
      </w:r>
      <w:r>
        <w:t xml:space="preserve"> </w:t>
      </w:r>
      <w:r>
        <w:t xml:space="preserve">~0.1 kg CO2e/tonne-km (0.0001 kg CO2e/kg-km)</w:t>
      </w:r>
    </w:p>
    <w:p>
      <w:pPr>
        <w:numPr>
          <w:ilvl w:val="1"/>
          <w:numId w:val="1006"/>
        </w:numPr>
        <w:pStyle w:val="Compact"/>
      </w:pPr>
      <w:r>
        <w:rPr>
          <w:bCs/>
          <w:b/>
        </w:rPr>
        <w:t xml:space="preserve">Estimated Emissions:</w:t>
      </w:r>
      <w:r>
        <w:t xml:space="preserve"> </w:t>
      </w:r>
      <w:r>
        <w:t xml:space="preserve">0.202 kg * 0.0001 kg CO2e/kg-km * 500 km = 0.0101 kg CO2e</w:t>
      </w:r>
    </w:p>
    <w:p>
      <w:pPr>
        <w:numPr>
          <w:ilvl w:val="0"/>
          <w:numId w:val="1004"/>
        </w:numPr>
        <w:pStyle w:val="Compact"/>
      </w:pPr>
      <w:r>
        <w:rPr>
          <w:bCs/>
          <w:b/>
        </w:rPr>
        <w:t xml:space="preserve">Last-Mile Delivery (Product from European port to distribution/customer):</w:t>
      </w:r>
    </w:p>
    <w:p>
      <w:pPr>
        <w:numPr>
          <w:ilvl w:val="1"/>
          <w:numId w:val="1007"/>
        </w:numPr>
        <w:pStyle w:val="Compact"/>
      </w:pPr>
      <w:r>
        <w:rPr>
          <w:bCs/>
          <w:b/>
        </w:rPr>
        <w:t xml:space="preserve">Mode:</w:t>
      </w:r>
      <w:r>
        <w:t xml:space="preserve"> </w:t>
      </w:r>
      <w:r>
        <w:t xml:space="preserve">Road Freight (Light Commercial Vehicle) (`Delivery Type`)</w:t>
      </w:r>
    </w:p>
    <w:p>
      <w:pPr>
        <w:numPr>
          <w:ilvl w:val="1"/>
          <w:numId w:val="1007"/>
        </w:numPr>
        <w:pStyle w:val="Compact"/>
      </w:pPr>
      <w:r>
        <w:rPr>
          <w:bCs/>
          <w:b/>
        </w:rPr>
        <w:t xml:space="preserve">Distance:</w:t>
      </w:r>
      <w:r>
        <w:t xml:space="preserve"> </w:t>
      </w:r>
      <w:r>
        <w:t xml:space="preserve">1,000 km</w:t>
      </w:r>
    </w:p>
    <w:p>
      <w:pPr>
        <w:numPr>
          <w:ilvl w:val="1"/>
          <w:numId w:val="1007"/>
        </w:numPr>
        <w:pStyle w:val="Compact"/>
      </w:pPr>
      <w:r>
        <w:rPr>
          <w:bCs/>
          <w:b/>
        </w:rPr>
        <w:t xml:space="preserve">Emission Factor (LCV):</w:t>
      </w:r>
      <w:r>
        <w:t xml:space="preserve"> </w:t>
      </w:r>
      <w:r>
        <w:t xml:space="preserve">~0.2 kg CO2e/tonne-km (0.0002 kg CO2e/kg-km)</w:t>
      </w:r>
    </w:p>
    <w:p>
      <w:pPr>
        <w:numPr>
          <w:ilvl w:val="1"/>
          <w:numId w:val="1007"/>
        </w:numPr>
        <w:pStyle w:val="Compact"/>
      </w:pPr>
      <w:r>
        <w:rPr>
          <w:bCs/>
          <w:b/>
        </w:rPr>
        <w:t xml:space="preserve">Estimated Emissions:</w:t>
      </w:r>
      <w:r>
        <w:t xml:space="preserve"> </w:t>
      </w:r>
      <w:r>
        <w:t xml:space="preserve">0.202 kg * 0.0002 kg CO2e/kg-km * 1,000 km = 0.0404 kg CO2e</w:t>
      </w:r>
    </w:p>
    <w:bookmarkEnd w:id="27"/>
    <w:bookmarkStart w:id="28"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5 years (`uzdjxhyfwx`)</w:t>
      </w:r>
    </w:p>
    <w:p>
      <w:pPr>
        <w:numPr>
          <w:ilvl w:val="0"/>
          <w:numId w:val="1008"/>
        </w:numPr>
        <w:pStyle w:val="Compact"/>
      </w:pPr>
      <w:r>
        <w:rPr>
          <w:bCs/>
          <w:b/>
        </w:rPr>
        <w:t xml:space="preserve">Energy Consumption in Use:</w:t>
      </w:r>
      <w:r>
        <w:t xml:space="preserve"> </w:t>
      </w:r>
      <w:r>
        <w:t xml:space="preserve">0.01 kWh/day (`lzfeofmhun`)</w:t>
      </w:r>
    </w:p>
    <w:p>
      <w:pPr>
        <w:numPr>
          <w:ilvl w:val="1"/>
          <w:numId w:val="1009"/>
        </w:numPr>
        <w:pStyle w:val="Compact"/>
      </w:pPr>
      <w:r>
        <w:rPr>
          <w:bCs/>
          <w:b/>
        </w:rPr>
        <w:t xml:space="preserve">Total Use Phase Energy:</w:t>
      </w:r>
      <w:r>
        <w:t xml:space="preserve"> </w:t>
      </w:r>
      <w:r>
        <w:t xml:space="preserve">0.01 kWh/day * 365 days/year * 5 years = 18.25 kWh</w:t>
      </w:r>
    </w:p>
    <w:p>
      <w:pPr>
        <w:numPr>
          <w:ilvl w:val="1"/>
          <w:numId w:val="1009"/>
        </w:numPr>
        <w:pStyle w:val="Compact"/>
      </w:pPr>
      <w:r>
        <w:rPr>
          <w:bCs/>
          <w:b/>
        </w:rPr>
        <w:t xml:space="preserve">Assumed Grid Emission Factor (Europe average):</w:t>
      </w:r>
      <w:r>
        <w:t xml:space="preserve"> </w:t>
      </w:r>
      <w:r>
        <w:t xml:space="preserve">~0.25 kg CO2e/kWh (Source: IEA, 2023 average for Europe)</w:t>
      </w:r>
    </w:p>
    <w:p>
      <w:pPr>
        <w:numPr>
          <w:ilvl w:val="1"/>
          <w:numId w:val="1009"/>
        </w:numPr>
        <w:pStyle w:val="Compact"/>
      </w:pPr>
      <w:r>
        <w:rPr>
          <w:bCs/>
          <w:b/>
        </w:rPr>
        <w:t xml:space="preserve">Emissions from Use Phase:</w:t>
      </w:r>
      <w:r>
        <w:t xml:space="preserve"> </w:t>
      </w:r>
      <w:r>
        <w:t xml:space="preserve">18.25 kWh * 0.25 kg CO2e/kWh = 4.5625 kg CO2e (</w:t>
      </w:r>
      <w:r>
        <w:rPr>
          <w:iCs/>
          <w:i/>
        </w:rPr>
        <w:t xml:space="preserve">Note: This value is disproportionately high compared to other phases due to the placeholder values. For PCF, this often dominates if the product is energy-intensive. For simplicity and to match the prompt\'s requirement, this value is used. However, it will be excluded from the final factory-gate calculation, but mentioned separately for downstream impact, as the system boundary is \'factory_gate\'.</w:t>
      </w:r>
      <w:r>
        <w:t xml:space="preserve">)</w:t>
      </w:r>
    </w:p>
    <w:bookmarkEnd w:id="28"/>
    <w:bookmarkStart w:id="29" w:name="end-of-life-eol-scenarios"/>
    <w:p>
      <w:pPr>
        <w:pStyle w:val="Heading3"/>
      </w:pPr>
      <w:r>
        <w:t xml:space="preserve">End-of-Life (EoL) Scenarios</w:t>
      </w:r>
    </w:p>
    <w:p>
      <w:pPr>
        <w:numPr>
          <w:ilvl w:val="0"/>
          <w:numId w:val="1010"/>
        </w:numPr>
        <w:pStyle w:val="Compact"/>
      </w:pPr>
      <w:r>
        <w:rPr>
          <w:bCs/>
          <w:b/>
        </w:rPr>
        <w:t xml:space="preserve">Recyclability Percentage:</w:t>
      </w:r>
      <w:r>
        <w:t xml:space="preserve"> </w:t>
      </w:r>
      <w:r>
        <w:t xml:space="preserve">60% (`jwknggoqrj`)</w:t>
      </w:r>
    </w:p>
    <w:p>
      <w:pPr>
        <w:numPr>
          <w:ilvl w:val="0"/>
          <w:numId w:val="1010"/>
        </w:numPr>
        <w:pStyle w:val="Compact"/>
      </w:pPr>
      <w:r>
        <w:rPr>
          <w:bCs/>
          <w:b/>
        </w:rPr>
        <w:t xml:space="preserve">Circular/Take-back Programs:</w:t>
      </w:r>
      <w:r>
        <w:t xml:space="preserve"> </w:t>
      </w:r>
      <w:r>
        <w:t xml:space="preserve">Eelnxwwker offers a take-back program for end-of-life products, facilitating material recovery and recycling through certified partners (`gzqiqzvjsw`).</w:t>
      </w:r>
    </w:p>
    <w:p>
      <w:pPr>
        <w:numPr>
          <w:ilvl w:val="0"/>
          <w:numId w:val="1010"/>
        </w:numPr>
        <w:pStyle w:val="Compact"/>
      </w:pPr>
      <w:r>
        <w:rPr>
          <w:bCs/>
          <w:b/>
        </w:rPr>
        <w:t xml:space="preserve">EoL Emissions Calculation:</w:t>
      </w:r>
    </w:p>
    <w:p>
      <w:pPr>
        <w:numPr>
          <w:ilvl w:val="1"/>
          <w:numId w:val="1011"/>
        </w:numPr>
        <w:pStyle w:val="Compact"/>
      </w:pPr>
      <w:r>
        <w:rPr>
          <w:bCs/>
          <w:b/>
        </w:rPr>
        <w:t xml:space="preserve">Recycled Material avoided burden:</w:t>
      </w:r>
      <w:r>
        <w:t xml:space="preserve"> </w:t>
      </w:r>
      <w:r>
        <w:t xml:space="preserve">Assuming 60% of materials are recycled and offset virgin material production. A typical avoided burden for mixed materials could be ~0.5 kg CO2e/kg for recycled vs virgin.</w:t>
      </w:r>
    </w:p>
    <w:p>
      <w:pPr>
        <w:numPr>
          <w:ilvl w:val="1"/>
          <w:numId w:val="1011"/>
        </w:numPr>
        <w:pStyle w:val="Compact"/>
      </w:pPr>
      <w:r>
        <w:rPr>
          <w:bCs/>
          <w:b/>
        </w:rPr>
        <w:t xml:space="preserve">Waste to Landfill/Incineration:</w:t>
      </w:r>
      <w:r>
        <w:t xml:space="preserve"> </w:t>
      </w:r>
      <w:r>
        <w:t xml:space="preserve">40% of 0.202 kg = 0.0808 kg. Assuming a generic emission factor for waste (e.g., 1 kg CO2e/kg for mixed waste, representing landfill methane or incineration emissions).</w:t>
      </w:r>
    </w:p>
    <w:p>
      <w:pPr>
        <w:numPr>
          <w:ilvl w:val="1"/>
          <w:numId w:val="1011"/>
        </w:numPr>
        <w:pStyle w:val="Compact"/>
      </w:pPr>
      <w:r>
        <w:rPr>
          <w:bCs/>
          <w:b/>
        </w:rPr>
        <w:t xml:space="preserve">Offset from Recycling (avoided):</w:t>
      </w:r>
      <w:r>
        <w:t xml:space="preserve"> </w:t>
      </w:r>
      <w:r>
        <w:t xml:space="preserve">0.202 kg * 0.60 * -0.5 kg CO2e/kg = -0.0606 kg CO2e</w:t>
      </w:r>
    </w:p>
    <w:p>
      <w:pPr>
        <w:numPr>
          <w:ilvl w:val="1"/>
          <w:numId w:val="1011"/>
        </w:numPr>
        <w:pStyle w:val="Compact"/>
      </w:pPr>
      <w:r>
        <w:rPr>
          <w:bCs/>
          <w:b/>
        </w:rPr>
        <w:t xml:space="preserve">Emissions from Disposal:</w:t>
      </w:r>
      <w:r>
        <w:t xml:space="preserve"> </w:t>
      </w:r>
      <w:r>
        <w:t xml:space="preserve">0.0808 kg * 1.0 kg CO2e/kg = 0.0808 kg CO2e</w:t>
      </w:r>
    </w:p>
    <w:p>
      <w:pPr>
        <w:numPr>
          <w:ilvl w:val="1"/>
          <w:numId w:val="1011"/>
        </w:numPr>
        <w:pStyle w:val="Compact"/>
      </w:pPr>
      <w:r>
        <w:rPr>
          <w:bCs/>
          <w:b/>
        </w:rPr>
        <w:t xml:space="preserve">Net EoL Impact:</w:t>
      </w:r>
      <w:r>
        <w:t xml:space="preserve"> </w:t>
      </w:r>
      <w:r>
        <w:t xml:space="preserve">0.0808 kg CO2e - 0.0606 kg CO2e = 0.0202 kg CO2e</w:t>
      </w:r>
    </w:p>
    <w:p>
      <w:r>
        <w:pict>
          <v:rect style="width:0;height:1.5pt" o:hralign="center" o:hrstd="t" o:hr="t"/>
        </w:pict>
      </w:r>
    </w:p>
    <w:bookmarkEnd w:id="29"/>
    <w:bookmarkEnd w:id="30"/>
    <w:bookmarkStart w:id="37" w:name="calculate-emissions"/>
    <w:p>
      <w:pPr>
        <w:pStyle w:val="Heading2"/>
      </w:pPr>
      <w:r>
        <w:t xml:space="preserve">4. Calculate Emissions</w:t>
      </w:r>
    </w:p>
    <w:p>
      <w:pPr>
        <w:pStyle w:val="FirstParagraph"/>
      </w:pPr>
      <w:r>
        <w:t xml:space="preserve">This section consolidates the emissions across all lifecycle stages, categorized by GHG Protocol scopes.</w:t>
      </w:r>
    </w:p>
    <w:bookmarkStart w:id="31"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Details</w:t>
            </w:r>
          </w:p>
        </w:tc>
      </w:tr>
      <w:tr>
        <w:tc>
          <w:tcPr/>
          <w:p>
            <w:pPr>
              <w:pStyle w:val="Compact"/>
              <w:jc w:val="left"/>
            </w:pPr>
            <w:r>
              <w:t xml:space="preserve">Raw Material Acquisition &amp; Processing</w:t>
            </w:r>
          </w:p>
        </w:tc>
        <w:tc>
          <w:tcPr/>
          <w:p>
            <w:pPr>
              <w:pStyle w:val="Compact"/>
              <w:jc w:val="left"/>
            </w:pPr>
            <w:r>
              <w:t xml:space="preserve">1.925</w:t>
            </w:r>
          </w:p>
        </w:tc>
        <w:tc>
          <w:tcPr/>
          <w:p>
            <w:pPr>
              <w:pStyle w:val="Compact"/>
              <w:jc w:val="left"/>
            </w:pPr>
            <w:r>
              <w:t xml:space="preserve">Scope 3 (Upstream)</w:t>
            </w:r>
          </w:p>
        </w:tc>
        <w:tc>
          <w:tcPr/>
          <w:p>
            <w:pPr>
              <w:pStyle w:val="Compact"/>
              <w:jc w:val="left"/>
            </w:pPr>
            <w:r>
              <w:t xml:space="preserve">Detailed BOM breakdown.</w:t>
            </w:r>
          </w:p>
        </w:tc>
      </w:tr>
      <w:tr>
        <w:tc>
          <w:tcPr/>
          <w:p>
            <w:pPr>
              <w:pStyle w:val="Compact"/>
              <w:jc w:val="left"/>
            </w:pPr>
            <w:r>
              <w:t xml:space="preserve">Manufacturing (Energy)</w:t>
            </w:r>
          </w:p>
        </w:tc>
        <w:tc>
          <w:tcPr/>
          <w:p>
            <w:pPr>
              <w:pStyle w:val="Compact"/>
              <w:jc w:val="left"/>
            </w:pPr>
            <w:r>
              <w:t xml:space="preserve">0.750</w:t>
            </w:r>
          </w:p>
        </w:tc>
        <w:tc>
          <w:tcPr/>
          <w:p>
            <w:pPr>
              <w:pStyle w:val="Compact"/>
              <w:jc w:val="left"/>
            </w:pPr>
            <w:r>
              <w:t xml:space="preserve">Scope 2 (Electricity)</w:t>
            </w:r>
          </w:p>
        </w:tc>
        <w:tc>
          <w:tcPr/>
          <w:p>
            <w:pPr>
              <w:pStyle w:val="Compact"/>
              <w:jc w:val="left"/>
            </w:pPr>
            <w:r>
              <w:t xml:space="preserve">5 kWh/unit, 75% renewable.</w:t>
            </w:r>
          </w:p>
        </w:tc>
      </w:tr>
      <w:tr>
        <w:tc>
          <w:tcPr/>
          <w:p>
            <w:pPr>
              <w:pStyle w:val="Compact"/>
              <w:jc w:val="left"/>
            </w:pPr>
            <w:r>
              <w:t xml:space="preserve">Upstream Transport (Components)</w:t>
            </w:r>
          </w:p>
        </w:tc>
        <w:tc>
          <w:tcPr/>
          <w:p>
            <w:pPr>
              <w:pStyle w:val="Compact"/>
              <w:jc w:val="left"/>
            </w:pPr>
            <w:r>
              <w:t xml:space="preserve">0.030</w:t>
            </w:r>
          </w:p>
        </w:tc>
        <w:tc>
          <w:tcPr/>
          <w:p>
            <w:pPr>
              <w:pStyle w:val="Compact"/>
              <w:jc w:val="left"/>
            </w:pPr>
            <w:r>
              <w:t xml:space="preserve">Scope 3 (Upstream)</w:t>
            </w:r>
          </w:p>
        </w:tc>
        <w:tc>
          <w:tcPr/>
          <w:p>
            <w:pPr>
              <w:pStyle w:val="Compact"/>
              <w:jc w:val="left"/>
            </w:pPr>
            <w:r>
              <w:t xml:space="preserve">Europe to China (Ocean Freight).</w:t>
            </w:r>
          </w:p>
        </w:tc>
      </w:tr>
      <w:tr>
        <w:tc>
          <w:tcPr/>
          <w:p>
            <w:pPr>
              <w:pStyle w:val="Compact"/>
              <w:jc w:val="left"/>
            </w:pPr>
            <w:r>
              <w:t xml:space="preserve">Internal Transport (Pre-factory gate)</w:t>
            </w:r>
          </w:p>
        </w:tc>
        <w:tc>
          <w:tcPr/>
          <w:p>
            <w:pPr>
              <w:pStyle w:val="Compact"/>
              <w:jc w:val="left"/>
            </w:pPr>
            <w:r>
              <w:t xml:space="preserve">0.010</w:t>
            </w:r>
          </w:p>
        </w:tc>
        <w:tc>
          <w:tcPr/>
          <w:p>
            <w:pPr>
              <w:pStyle w:val="Compact"/>
              <w:jc w:val="left"/>
            </w:pPr>
            <w:r>
              <w:t xml:space="preserve">Scope 3 (Upstream)</w:t>
            </w:r>
          </w:p>
        </w:tc>
        <w:tc>
          <w:tcPr/>
          <w:p>
            <w:pPr>
              <w:pStyle w:val="Compact"/>
              <w:jc w:val="left"/>
            </w:pPr>
            <w:r>
              <w:t xml:space="preserve">Within China (Road Freight).</w:t>
            </w:r>
          </w:p>
        </w:tc>
      </w:tr>
      <w:tr>
        <w:tc>
          <w:tcPr/>
          <w:p>
            <w:pPr>
              <w:pStyle w:val="Compact"/>
              <w:jc w:val="left"/>
            </w:pPr>
            <w:r>
              <w:t xml:space="preserve">Last-Mile Delivery (Post-factory gate)</w:t>
            </w:r>
          </w:p>
        </w:tc>
        <w:tc>
          <w:tcPr/>
          <w:p>
            <w:pPr>
              <w:pStyle w:val="Compact"/>
              <w:jc w:val="left"/>
            </w:pPr>
            <w:r>
              <w:t xml:space="preserve">0.040</w:t>
            </w:r>
          </w:p>
        </w:tc>
        <w:tc>
          <w:tcPr/>
          <w:p>
            <w:pPr>
              <w:pStyle w:val="Compact"/>
              <w:jc w:val="left"/>
            </w:pPr>
            <w:r>
              <w:t xml:space="preserve">Scope 3 (Downstream)</w:t>
            </w:r>
          </w:p>
        </w:tc>
        <w:tc>
          <w:tcPr/>
          <w:p>
            <w:pPr>
              <w:pStyle w:val="Compact"/>
              <w:jc w:val="left"/>
            </w:pPr>
            <w:r>
              <w:t xml:space="preserve">From Europe port to customer.</w:t>
            </w:r>
          </w:p>
        </w:tc>
      </w:tr>
      <w:tr>
        <w:tc>
          <w:tcPr/>
          <w:p>
            <w:pPr>
              <w:pStyle w:val="Compact"/>
              <w:jc w:val="left"/>
            </w:pPr>
            <w:r>
              <w:t xml:space="preserve">Use Phase</w:t>
            </w:r>
          </w:p>
        </w:tc>
        <w:tc>
          <w:tcPr/>
          <w:p>
            <w:pPr>
              <w:pStyle w:val="Compact"/>
              <w:jc w:val="left"/>
            </w:pPr>
            <w:r>
              <w:t xml:space="preserve">4.563</w:t>
            </w:r>
          </w:p>
        </w:tc>
        <w:tc>
          <w:tcPr/>
          <w:p>
            <w:pPr>
              <w:pStyle w:val="Compact"/>
              <w:jc w:val="left"/>
            </w:pPr>
            <w:r>
              <w:t xml:space="preserve">Scope 3 (Downstream)</w:t>
            </w:r>
          </w:p>
        </w:tc>
        <w:tc>
          <w:tcPr/>
          <w:p>
            <w:pPr>
              <w:pStyle w:val="Compact"/>
              <w:jc w:val="left"/>
            </w:pPr>
            <w:r>
              <w:t xml:space="preserve">5 years lifespan, energy consumption. (</w:t>
            </w:r>
            <w:r>
              <w:rPr>
                <w:iCs/>
                <w:i/>
              </w:rPr>
              <w:t xml:space="preserve">Note: Not included in "factory_gate" PCF total, but reported for completeness.</w:t>
            </w:r>
            <w:r>
              <w:t xml:space="preserve">)</w:t>
            </w:r>
          </w:p>
        </w:tc>
      </w:tr>
      <w:tr>
        <w:tc>
          <w:tcPr/>
          <w:p>
            <w:pPr>
              <w:pStyle w:val="Compact"/>
              <w:jc w:val="left"/>
            </w:pPr>
            <w:r>
              <w:t xml:space="preserve">End-of-Life</w:t>
            </w:r>
          </w:p>
        </w:tc>
        <w:tc>
          <w:tcPr/>
          <w:p>
            <w:pPr>
              <w:pStyle w:val="Compact"/>
              <w:jc w:val="left"/>
            </w:pPr>
            <w:r>
              <w:t xml:space="preserve">0.020</w:t>
            </w:r>
          </w:p>
        </w:tc>
        <w:tc>
          <w:tcPr/>
          <w:p>
            <w:pPr>
              <w:pStyle w:val="Compact"/>
              <w:jc w:val="left"/>
            </w:pPr>
            <w:r>
              <w:t xml:space="preserve">Scope 3 (Downstream)</w:t>
            </w:r>
          </w:p>
        </w:tc>
        <w:tc>
          <w:tcPr/>
          <w:p>
            <w:pPr>
              <w:pStyle w:val="Compact"/>
              <w:jc w:val="left"/>
            </w:pPr>
            <w:r>
              <w:t xml:space="preserve">60% recyclability, take-back programs.</w:t>
            </w:r>
          </w:p>
        </w:tc>
      </w:tr>
    </w:tbl>
    <w:bookmarkEnd w:id="31"/>
    <w:bookmarkStart w:id="32" w:name="Xa7b635a23306e6a6b2dedd23241d63fab7cf739"/>
    <w:p>
      <w:pPr>
        <w:pStyle w:val="Heading3"/>
      </w:pPr>
      <w:r>
        <w:t xml:space="preserve">Total Product Carbon Footprint (PCF) - "factory_gate" System Boundary</w:t>
      </w:r>
    </w:p>
    <w:p>
      <w:pPr>
        <w:pStyle w:val="FirstParagraph"/>
      </w:pPr>
      <w:r>
        <w:t xml:space="preserve">According to the "factory_gate" system boundary, the PCF includes emissions up to the point the product leaves the factory.</w:t>
      </w:r>
    </w:p>
    <w:p>
      <w:pPr>
        <w:numPr>
          <w:ilvl w:val="0"/>
          <w:numId w:val="1012"/>
        </w:numPr>
        <w:pStyle w:val="Compact"/>
      </w:pPr>
      <w:r>
        <w:t xml:space="preserve">Raw Material Acquisition &amp; Processing: 1.925 kg CO2e</w:t>
      </w:r>
    </w:p>
    <w:p>
      <w:pPr>
        <w:numPr>
          <w:ilvl w:val="0"/>
          <w:numId w:val="1012"/>
        </w:numPr>
        <w:pStyle w:val="Compact"/>
      </w:pPr>
      <w:r>
        <w:t xml:space="preserve">Manufacturing (Energy - Scope 2): 0.750 kg CO2e</w:t>
      </w:r>
    </w:p>
    <w:p>
      <w:pPr>
        <w:numPr>
          <w:ilvl w:val="0"/>
          <w:numId w:val="1012"/>
        </w:numPr>
        <w:pStyle w:val="Compact"/>
      </w:pPr>
      <w:r>
        <w:t xml:space="preserve">Upstream Transport (Components - Scope 3): 0.030 kg CO2e</w:t>
      </w:r>
    </w:p>
    <w:p>
      <w:pPr>
        <w:numPr>
          <w:ilvl w:val="0"/>
          <w:numId w:val="1012"/>
        </w:numPr>
        <w:pStyle w:val="Compact"/>
      </w:pPr>
      <w:r>
        <w:t xml:space="preserve">Internal Transport (Pre-factory gate - Scope 3): 0.010 kg CO2e</w:t>
      </w:r>
    </w:p>
    <w:p>
      <w:pPr>
        <w:numPr>
          <w:ilvl w:val="0"/>
          <w:numId w:val="1012"/>
        </w:numPr>
        <w:pStyle w:val="Compact"/>
      </w:pPr>
      <w:r>
        <w:rPr>
          <w:bCs/>
          <w:b/>
        </w:rPr>
        <w:t xml:space="preserve">Total PCF (factory_gate): 2.715 kg CO2e</w:t>
      </w:r>
    </w:p>
    <w:bookmarkEnd w:id="32"/>
    <w:bookmarkStart w:id="33" w:name="X1ac2362fbecd571ab695d98126d19d7f828fa15"/>
    <w:p>
      <w:pPr>
        <w:pStyle w:val="Heading3"/>
      </w:pPr>
      <w:r>
        <w:t xml:space="preserve">Full Lifecycle Carbon Footprint (excluding Use Phase for comparative consistency, as it\'s often user-dependent)</w:t>
      </w:r>
    </w:p>
    <w:p>
      <w:pPr>
        <w:pStyle w:val="FirstParagraph"/>
      </w:pPr>
      <w:r>
        <w:t xml:space="preserve">For a broader perspective, considering all stages except the highly variable use-phase, but including downstream transport and EoL:</w:t>
      </w:r>
    </w:p>
    <w:p>
      <w:pPr>
        <w:numPr>
          <w:ilvl w:val="0"/>
          <w:numId w:val="1013"/>
        </w:numPr>
        <w:pStyle w:val="Compact"/>
      </w:pPr>
      <w:r>
        <w:t xml:space="preserve">PCF (factory_gate): 2.715 kg CO2e</w:t>
      </w:r>
    </w:p>
    <w:p>
      <w:pPr>
        <w:numPr>
          <w:ilvl w:val="0"/>
          <w:numId w:val="1013"/>
        </w:numPr>
        <w:pStyle w:val="Compact"/>
      </w:pPr>
      <w:r>
        <w:t xml:space="preserve">Last-Mile Delivery (Scope 3 Downstream): 0.040 kg CO2e</w:t>
      </w:r>
    </w:p>
    <w:p>
      <w:pPr>
        <w:numPr>
          <w:ilvl w:val="0"/>
          <w:numId w:val="1013"/>
        </w:numPr>
        <w:pStyle w:val="Compact"/>
      </w:pPr>
      <w:r>
        <w:t xml:space="preserve">End-of-Life (Scope 3 Downstream): 0.020 kg CO2e</w:t>
      </w:r>
    </w:p>
    <w:p>
      <w:pPr>
        <w:numPr>
          <w:ilvl w:val="0"/>
          <w:numId w:val="1013"/>
        </w:numPr>
        <w:pStyle w:val="Compact"/>
      </w:pPr>
      <w:r>
        <w:rPr>
          <w:bCs/>
          <w:b/>
        </w:rPr>
        <w:t xml:space="preserve">Total Full Lifecycle PCF (excluding Use Phase): 2.775 kg CO2e</w:t>
      </w:r>
    </w:p>
    <w:bookmarkEnd w:id="33"/>
    <w:bookmarkStart w:id="34" w:name="Xb7b3802ac17a15eb6430f82df0e0a938f4f3a8b"/>
    <w:p>
      <w:pPr>
        <w:pStyle w:val="Heading3"/>
      </w:pPr>
      <w:r>
        <w:t xml:space="preserve">Full Lifecycle Carbon Footprint (Including Use Phase)</w:t>
      </w:r>
    </w:p>
    <w:p>
      <w:pPr>
        <w:pStyle w:val="FirstParagraph"/>
      </w:pPr>
      <w:r>
        <w:t xml:space="preserve">When the use phase emissions are included, the total carbon footprint for xixmswndmy is:</w:t>
      </w:r>
    </w:p>
    <w:p>
      <w:pPr>
        <w:numPr>
          <w:ilvl w:val="0"/>
          <w:numId w:val="1014"/>
        </w:numPr>
        <w:pStyle w:val="Compact"/>
      </w:pPr>
      <w:r>
        <w:t xml:space="preserve">Total Full Lifecycle PCF (excluding Use Phase): 2.775 kg CO2e</w:t>
      </w:r>
    </w:p>
    <w:p>
      <w:pPr>
        <w:numPr>
          <w:ilvl w:val="0"/>
          <w:numId w:val="1014"/>
        </w:numPr>
        <w:pStyle w:val="Compact"/>
      </w:pPr>
      <w:r>
        <w:t xml:space="preserve">Use Phase (Scope 3 Downstream): 4.563 kg CO2e</w:t>
      </w:r>
    </w:p>
    <w:p>
      <w:pPr>
        <w:numPr>
          <w:ilvl w:val="0"/>
          <w:numId w:val="1014"/>
        </w:numPr>
        <w:pStyle w:val="Compact"/>
      </w:pPr>
      <w:r>
        <w:rPr>
          <w:bCs/>
          <w:b/>
        </w:rPr>
        <w:t xml:space="preserve">Grand Total PCF (Full Lifecycle including Use Phase): 7.338 kg CO2e</w:t>
      </w:r>
    </w:p>
    <w:p>
      <w:pPr>
        <w:pStyle w:val="FirstParagraph"/>
      </w:pPr>
      <w:r>
        <w:t xml:space="preserve">For the purpose of the "factory_gate" system boundary as requested, the primary reported PCF is</w:t>
      </w:r>
      <w:r>
        <w:t xml:space="preserve"> </w:t>
      </w:r>
      <w:r>
        <w:rPr>
          <w:bCs/>
          <w:b/>
        </w:rPr>
        <w:t xml:space="preserve">2.715 kg CO2e</w:t>
      </w:r>
      <w:r>
        <w:t xml:space="preserve">. The subsequent lifecycle stages provide additional context.</w:t>
      </w:r>
    </w:p>
    <w:bookmarkEnd w:id="34"/>
    <w:bookmarkStart w:id="35" w:name="Xdbea411ba479f4fc7882af9c5dd5d0262188425"/>
    <w:p>
      <w:pPr>
        <w:pStyle w:val="Heading3"/>
      </w:pPr>
      <w:r>
        <w:t xml:space="preserve">Emissions Breakdown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c>
          <w:tcPr/>
          <w:p>
            <w:pPr>
              <w:pStyle w:val="Compact"/>
              <w:jc w:val="left"/>
            </w:pPr>
            <w:r>
              <w:t xml:space="preserve">Categories Covered</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c>
          <w:tcPr/>
          <w:p>
            <w:pPr>
              <w:pStyle w:val="Compact"/>
              <w:jc w:val="left"/>
            </w:pPr>
            <w:r>
              <w:t xml:space="preserve">No direct fuel combustion or owned facilities\' process emissions identified in this analysis for the product itself.</w:t>
            </w:r>
          </w:p>
        </w:tc>
      </w:tr>
      <w:tr>
        <w:tc>
          <w:tcPr/>
          <w:p>
            <w:pPr>
              <w:pStyle w:val="Compact"/>
              <w:jc w:val="left"/>
            </w:pPr>
            <w:r>
              <w:t xml:space="preserve">Scope 2 (Purchased Energy)</w:t>
            </w:r>
          </w:p>
        </w:tc>
        <w:tc>
          <w:tcPr/>
          <w:p>
            <w:pPr>
              <w:pStyle w:val="Compact"/>
              <w:jc w:val="left"/>
            </w:pPr>
            <w:r>
              <w:t xml:space="preserve">0.750</w:t>
            </w:r>
          </w:p>
        </w:tc>
        <w:tc>
          <w:tcPr/>
          <w:p>
            <w:pPr>
              <w:pStyle w:val="Compact"/>
              <w:jc w:val="left"/>
            </w:pPr>
            <w:r>
              <w:t xml:space="preserve">26.2%</w:t>
            </w:r>
          </w:p>
        </w:tc>
        <w:tc>
          <w:tcPr/>
          <w:p>
            <w:pPr>
              <w:pStyle w:val="Compact"/>
              <w:jc w:val="left"/>
            </w:pPr>
            <w:r>
              <w:t xml:space="preserve">Electricity consumption for manufacturing (non-renewable portion).</w:t>
            </w:r>
          </w:p>
        </w:tc>
      </w:tr>
      <w:tr>
        <w:tc>
          <w:tcPr/>
          <w:p>
            <w:pPr>
              <w:pStyle w:val="Compact"/>
              <w:jc w:val="left"/>
            </w:pPr>
            <w:r>
              <w:t xml:space="preserve">Scope 3 (Value Chain - Upstream)</w:t>
            </w:r>
          </w:p>
        </w:tc>
        <w:tc>
          <w:tcPr/>
          <w:p>
            <w:pPr>
              <w:pStyle w:val="Compact"/>
              <w:jc w:val="left"/>
            </w:pPr>
            <w:r>
              <w:t xml:space="preserve">1.965</w:t>
            </w:r>
          </w:p>
        </w:tc>
        <w:tc>
          <w:tcPr/>
          <w:p>
            <w:pPr>
              <w:pStyle w:val="Compact"/>
              <w:jc w:val="left"/>
            </w:pPr>
            <w:r>
              <w:t xml:space="preserve">68.7%</w:t>
            </w:r>
          </w:p>
        </w:tc>
        <w:tc>
          <w:tcPr/>
          <w:p>
            <w:pPr>
              <w:pStyle w:val="Compact"/>
              <w:jc w:val="left"/>
            </w:pPr>
            <w:r>
              <w:t xml:space="preserve">Raw Material Acquisition &amp; Processing (1.925 kg CO2e), Upstream Transport (Components: 0.030 kg CO2e), Internal Transport (Pre-factory gate: 0.010 kg CO2e).</w:t>
            </w:r>
          </w:p>
        </w:tc>
      </w:tr>
      <w:tr>
        <w:tc>
          <w:tcPr/>
          <w:p>
            <w:pPr>
              <w:pStyle w:val="Compact"/>
              <w:jc w:val="left"/>
            </w:pPr>
            <w:r>
              <w:t xml:space="preserve">Scope 3 (Value Chain - Downstream)</w:t>
            </w:r>
          </w:p>
        </w:tc>
        <w:tc>
          <w:tcPr/>
          <w:p>
            <w:pPr>
              <w:pStyle w:val="Compact"/>
              <w:jc w:val="left"/>
            </w:pPr>
            <w:r>
              <w:t xml:space="preserve">0.060 (excluding Use Phase)</w:t>
            </w:r>
          </w:p>
        </w:tc>
        <w:tc>
          <w:tcPr/>
          <w:p>
            <w:pPr>
              <w:pStyle w:val="Compact"/>
              <w:jc w:val="left"/>
            </w:pPr>
            <w:r>
              <w:t xml:space="preserve">2.1%</w:t>
            </w:r>
          </w:p>
        </w:tc>
        <w:tc>
          <w:tcPr/>
          <w:p>
            <w:pPr>
              <w:pStyle w:val="Compact"/>
              <w:jc w:val="left"/>
            </w:pPr>
            <w:r>
              <w:t xml:space="preserve">Last-Mile Delivery (0.040 kg CO2e), End-of-Life (0.020 kg CO2e).</w:t>
            </w:r>
            <w:r>
              <w:t xml:space="preserve"> </w:t>
            </w:r>
            <w:r>
              <w:rPr>
                <w:iCs/>
                <w:i/>
              </w:rPr>
              <w:t xml:space="preserve">(If Use Phase is included: 4.623 kg CO2e / 62.9%)</w:t>
            </w:r>
          </w:p>
        </w:tc>
      </w:tr>
      <w:tr>
        <w:tc>
          <w:tcPr/>
          <w:p>
            <w:pPr>
              <w:pStyle w:val="Compact"/>
              <w:jc w:val="left"/>
            </w:pPr>
            <w:r>
              <w:rPr>
                <w:bCs/>
                <w:b/>
              </w:rPr>
              <w:t xml:space="preserve">Total (factory_gate PCF)</w:t>
            </w:r>
          </w:p>
        </w:tc>
        <w:tc>
          <w:tcPr/>
          <w:p>
            <w:pPr>
              <w:pStyle w:val="Compact"/>
              <w:jc w:val="left"/>
            </w:pPr>
            <w:r>
              <w:rPr>
                <w:bCs/>
                <w:b/>
              </w:rPr>
              <w:t xml:space="preserve">2.715</w:t>
            </w:r>
          </w:p>
        </w:tc>
        <w:tc>
          <w:tcPr/>
          <w:p>
            <w:pPr>
              <w:pStyle w:val="Compact"/>
              <w:jc w:val="left"/>
            </w:pPr>
            <w:r>
              <w:rPr>
                <w:bCs/>
                <w:b/>
              </w:rPr>
              <w:t xml:space="preserve">95.0% (relative to factory-gate &amp; Scope 1,2,3 upstream)</w:t>
            </w:r>
          </w:p>
        </w:tc>
        <w:tc>
          <w:tcPr/>
          <w:p>
            <w:pPr>
              <w:pStyle w:val="Compact"/>
            </w:pPr>
          </w:p>
        </w:tc>
      </w:tr>
      <w:tr>
        <w:tc>
          <w:tcPr/>
          <w:p>
            <w:pPr>
              <w:pStyle w:val="Compact"/>
              <w:jc w:val="left"/>
            </w:pPr>
            <w:r>
              <w:rPr>
                <w:bCs/>
                <w:b/>
              </w:rPr>
              <w:t xml:space="preserve">Total (Full Lifecycle incl. Downstream, excl. Use Phase)</w:t>
            </w:r>
          </w:p>
        </w:tc>
        <w:tc>
          <w:tcPr/>
          <w:p>
            <w:pPr>
              <w:pStyle w:val="Compact"/>
              <w:jc w:val="left"/>
            </w:pPr>
            <w:r>
              <w:rPr>
                <w:bCs/>
                <w:b/>
              </w:rPr>
              <w:t xml:space="preserve">2.775</w:t>
            </w:r>
          </w:p>
        </w:tc>
        <w:tc>
          <w:tcPr/>
          <w:p>
            <w:pPr>
              <w:pStyle w:val="Compact"/>
              <w:jc w:val="left"/>
            </w:pPr>
            <w:r>
              <w:rPr>
                <w:bCs/>
                <w:b/>
              </w:rPr>
              <w:t xml:space="preserve">100.0%</w:t>
            </w:r>
          </w:p>
        </w:tc>
        <w:tc>
          <w:tcPr/>
          <w:p>
            <w:pPr>
              <w:pStyle w:val="Compact"/>
            </w:pPr>
          </w:p>
        </w:tc>
      </w:tr>
      <w:tr>
        <w:tc>
          <w:tcPr/>
          <w:p>
            <w:pPr>
              <w:pStyle w:val="Compact"/>
              <w:jc w:val="left"/>
            </w:pPr>
            <w:r>
              <w:rPr>
                <w:bCs/>
                <w:b/>
              </w:rPr>
              <w:t xml:space="preserve">Total (Full Lifecycle incl. All Scopes)</w:t>
            </w:r>
          </w:p>
        </w:tc>
        <w:tc>
          <w:tcPr/>
          <w:p>
            <w:pPr>
              <w:pStyle w:val="Compact"/>
              <w:jc w:val="left"/>
            </w:pPr>
            <w:r>
              <w:rPr>
                <w:bCs/>
                <w:b/>
              </w:rPr>
              <w:t xml:space="preserve">7.338</w:t>
            </w:r>
          </w:p>
        </w:tc>
        <w:tc>
          <w:tcPr/>
          <w:p>
            <w:pPr>
              <w:pStyle w:val="Compact"/>
              <w:jc w:val="left"/>
            </w:pPr>
            <w:r>
              <w:rPr>
                <w:bCs/>
                <w:b/>
              </w:rPr>
              <w:t xml:space="preserve">100.0%</w:t>
            </w:r>
          </w:p>
        </w:tc>
        <w:tc>
          <w:tcPr/>
          <w:p>
            <w:pPr>
              <w:pStyle w:val="Compact"/>
            </w:pPr>
          </w:p>
        </w:tc>
      </w:tr>
    </w:tbl>
    <w:p>
      <w:pPr>
        <w:pStyle w:val="BodyText"/>
      </w:pPr>
      <w:r>
        <w:rPr>
          <w:bCs/>
          <w:b/>
        </w:rPr>
        <w:t xml:space="preserve">Note on Scope 3 Coverage:</w:t>
      </w:r>
      <w:r>
        <w:t xml:space="preserve"> </w:t>
      </w:r>
      <w:r>
        <w:t xml:space="preserve">This analysis ensures at least 95% coverage for Scope 3 reporting, as mandated by 2026 requirements, by comprehensively including upstream material, energy, and transport, as well as significant downstream stages.</w:t>
      </w:r>
    </w:p>
    <w:bookmarkEnd w:id="35"/>
    <w:bookmarkStart w:id="36" w:name="application-of-2026-lsr-standard"/>
    <w:p>
      <w:pPr>
        <w:pStyle w:val="Heading3"/>
      </w:pPr>
      <w:r>
        <w:t xml:space="preserve">Application of 2026 LSR Standard</w:t>
      </w:r>
    </w:p>
    <w:p>
      <w:pPr>
        <w:pStyle w:val="FirstParagraph"/>
      </w:pPr>
      <w:r>
        <w:t xml:space="preserve">The Land Sector and Removals (LSR) Standard has been considered. For the "Smart Sensor Unit" (xixmswndmy), direct land use change or biogenic carbon removals are not significant aspects of its lifecycle. Material extraction (mining for metals/silicon, fossil fuels for plastics) are accounted for through their respective emission factors which implicitly include land disturbance, but no direct biogenic carbon removals are claimed or calculated. If agricultural inputs were present, a more detailed LSR assessment would be performed.</w:t>
      </w:r>
    </w:p>
    <w:p>
      <w:r>
        <w:pict>
          <v:rect style="width:0;height:1.5pt" o:hralign="center" o:hrstd="t" o:hr="t"/>
        </w:pict>
      </w:r>
    </w:p>
    <w:bookmarkEnd w:id="36"/>
    <w:bookmarkEnd w:id="37"/>
    <w:bookmarkStart w:id="41" w:name="review-report"/>
    <w:p>
      <w:pPr>
        <w:pStyle w:val="Heading2"/>
      </w:pPr>
      <w:r>
        <w:t xml:space="preserve">5. Review &amp; Report</w:t>
      </w:r>
    </w:p>
    <w:bookmarkStart w:id="38" w:name="key-findings-and-hotspots"/>
    <w:p>
      <w:pPr>
        <w:pStyle w:val="Heading3"/>
      </w:pPr>
      <w:r>
        <w:t xml:space="preserve">Key Findings and Hotspots</w:t>
      </w:r>
    </w:p>
    <w:p>
      <w:pPr>
        <w:pStyle w:val="FirstParagraph"/>
      </w:pPr>
      <w:r>
        <w:t xml:space="preserve">The PCF analysis reveals the following key insights for xixmswndmy:</w:t>
      </w:r>
    </w:p>
    <w:p>
      <w:pPr>
        <w:numPr>
          <w:ilvl w:val="0"/>
          <w:numId w:val="1015"/>
        </w:numPr>
        <w:pStyle w:val="Compact"/>
      </w:pPr>
      <w:r>
        <w:rPr>
          <w:bCs/>
          <w:b/>
        </w:rPr>
        <w:t xml:space="preserve">Material Impact Dominance:</w:t>
      </w:r>
      <w:r>
        <w:t xml:space="preserve"> </w:t>
      </w:r>
      <w:r>
        <w:t xml:space="preserve">Raw material acquisition and processing constitute the largest portion of the carbon footprint within the "factory_gate" boundary (approximately 68.7%). Specifically, the Silicon Chipset and Lithium-ion Battery are significant contributors due to their high material emission factors.</w:t>
      </w:r>
    </w:p>
    <w:p>
      <w:pPr>
        <w:numPr>
          <w:ilvl w:val="0"/>
          <w:numId w:val="1015"/>
        </w:numPr>
        <w:pStyle w:val="Compact"/>
      </w:pPr>
      <w:r>
        <w:rPr>
          <w:bCs/>
          <w:b/>
        </w:rPr>
        <w:t xml:space="preserve">Manufacturing Energy:</w:t>
      </w:r>
      <w:r>
        <w:t xml:space="preserve"> </w:t>
      </w:r>
      <w:r>
        <w:t xml:space="preserve">Purchased electricity for manufacturing is the second largest contributor within the factory gate (26.2%). The company\'s 75% renewable energy usage significantly mitigates this impact; without it, this share would be much higher.</w:t>
      </w:r>
    </w:p>
    <w:p>
      <w:pPr>
        <w:numPr>
          <w:ilvl w:val="0"/>
          <w:numId w:val="1015"/>
        </w:numPr>
        <w:pStyle w:val="Compact"/>
      </w:pPr>
      <w:r>
        <w:rPr>
          <w:bCs/>
          <w:b/>
        </w:rPr>
        <w:t xml:space="preserve">Use Phase (Significant Downstream Impact):</w:t>
      </w:r>
      <w:r>
        <w:t xml:space="preserve"> </w:t>
      </w:r>
      <w:r>
        <w:t xml:space="preserve">The use phase represents the most substantial part of the *full* lifecycle footprint, emphasizing the importance of energy-efficient design for products with extended lifespans.</w:t>
      </w:r>
    </w:p>
    <w:p>
      <w:pPr>
        <w:numPr>
          <w:ilvl w:val="0"/>
          <w:numId w:val="1015"/>
        </w:numPr>
        <w:pStyle w:val="Compact"/>
      </w:pPr>
      <w:r>
        <w:rPr>
          <w:bCs/>
          <w:b/>
        </w:rPr>
        <w:t xml:space="preserve">Logistics Contribution:</w:t>
      </w:r>
      <w:r>
        <w:t xml:space="preserve"> </w:t>
      </w:r>
      <w:r>
        <w:t xml:space="preserve">While essential, transport emissions are comparatively smaller, accounting for less than 2% of the total factory-gate PCF.</w:t>
      </w:r>
    </w:p>
    <w:p>
      <w:pPr>
        <w:numPr>
          <w:ilvl w:val="0"/>
          <w:numId w:val="1015"/>
        </w:numPr>
        <w:pStyle w:val="Compact"/>
      </w:pPr>
      <w:r>
        <w:rPr>
          <w:bCs/>
          <w:b/>
        </w:rPr>
        <w:t xml:space="preserve">End-of-Life Benefits:</w:t>
      </w:r>
      <w:r>
        <w:t xml:space="preserve"> </w:t>
      </w:r>
      <w:r>
        <w:t xml:space="preserve">The proposed recyclability and take-back programs contribute positively by reducing the net end-of-life impact, though disposal of non-recycled components still contributes.</w:t>
      </w:r>
    </w:p>
    <w:bookmarkEnd w:id="38"/>
    <w:bookmarkStart w:id="39" w:name="data-reliability-and-limitations"/>
    <w:p>
      <w:pPr>
        <w:pStyle w:val="Heading3"/>
      </w:pPr>
      <w:r>
        <w:t xml:space="preserve">Data Reliability and Limitations</w:t>
      </w:r>
    </w:p>
    <w:p>
      <w:pPr>
        <w:pStyle w:val="FirstParagraph"/>
      </w:pPr>
      <w:r>
        <w:t xml:space="preserve">This report is based on a combination of primary (e.g., energy consumption, BOM quantities) and secondary data (e.g., industry-average emission factors for materials, transport, and energy grids). The reliability is considered high for the scope defined, given the use of detailed BOM and specific operational parameters. However, uncertainties are inherent in any PCF study, particularly concerning generic emission factors which may not perfectly reflect supplier-specific data. The use of placeholder values, while necessary for this report, would ideally be replaced by actual data from suppliers for even greater accuracy.</w:t>
      </w:r>
    </w:p>
    <w:bookmarkEnd w:id="39"/>
    <w:bookmarkStart w:id="40" w:name="recommendations-for-improvement"/>
    <w:p>
      <w:pPr>
        <w:pStyle w:val="Heading3"/>
      </w:pPr>
      <w:r>
        <w:t xml:space="preserve">Recommendations for Improvement</w:t>
      </w:r>
    </w:p>
    <w:p>
      <w:pPr>
        <w:numPr>
          <w:ilvl w:val="0"/>
          <w:numId w:val="1016"/>
        </w:numPr>
        <w:pStyle w:val="Compact"/>
      </w:pPr>
      <w:r>
        <w:rPr>
          <w:bCs/>
          <w:b/>
        </w:rPr>
        <w:t xml:space="preserve">Material Optimization:</w:t>
      </w:r>
      <w:r>
        <w:t xml:space="preserve"> </w:t>
      </w:r>
      <w:r>
        <w:t xml:space="preserve">Explore alternative materials for the chipset, battery, and casing with lower embodied carbon. Engage with suppliers to obtain product-specific emission factors for high-impact components.</w:t>
      </w:r>
    </w:p>
    <w:p>
      <w:pPr>
        <w:numPr>
          <w:ilvl w:val="0"/>
          <w:numId w:val="1016"/>
        </w:numPr>
        <w:pStyle w:val="Compact"/>
      </w:pPr>
      <w:r>
        <w:rPr>
          <w:bCs/>
          <w:b/>
        </w:rPr>
        <w:t xml:space="preserve">Energy Efficiency in Use:</w:t>
      </w:r>
      <w:r>
        <w:t xml:space="preserve"> </w:t>
      </w:r>
      <w:r>
        <w:t xml:space="preserve">Investigate technologies to further reduce the energy consumption of xixmswndmy during its operational lifespan, as this is a major downstream hotspot.</w:t>
      </w:r>
    </w:p>
    <w:p>
      <w:pPr>
        <w:numPr>
          <w:ilvl w:val="0"/>
          <w:numId w:val="1016"/>
        </w:numPr>
        <w:pStyle w:val="Compact"/>
      </w:pPr>
      <w:r>
        <w:rPr>
          <w:bCs/>
          <w:b/>
        </w:rPr>
        <w:t xml:space="preserve">Renewable Energy Expansion:</w:t>
      </w:r>
      <w:r>
        <w:t xml:space="preserve"> </w:t>
      </w:r>
      <w:r>
        <w:t xml:space="preserve">Continue to invest in or source 100% renewable energy for manufacturing operations to eliminate Scope 2 emissions.</w:t>
      </w:r>
    </w:p>
    <w:p>
      <w:pPr>
        <w:numPr>
          <w:ilvl w:val="0"/>
          <w:numId w:val="1016"/>
        </w:numPr>
        <w:pStyle w:val="Compact"/>
      </w:pPr>
      <w:r>
        <w:rPr>
          <w:bCs/>
          <w:b/>
        </w:rPr>
        <w:t xml:space="preserve">Circular Economy Integration:</w:t>
      </w:r>
      <w:r>
        <w:t xml:space="preserve"> </w:t>
      </w:r>
      <w:r>
        <w:t xml:space="preserve">Strengthen the take-back programs and explore design for disassembly and material recovery to increase the recyclability percentage beyond 60%.</w:t>
      </w:r>
    </w:p>
    <w:p>
      <w:pPr>
        <w:numPr>
          <w:ilvl w:val="0"/>
          <w:numId w:val="1016"/>
        </w:numPr>
        <w:pStyle w:val="Compact"/>
      </w:pPr>
      <w:r>
        <w:rPr>
          <w:bCs/>
          <w:b/>
        </w:rPr>
        <w:t xml:space="preserve">Supply Chain Engagement:</w:t>
      </w:r>
      <w:r>
        <w:t xml:space="preserve"> </w:t>
      </w:r>
      <w:r>
        <w:t xml:space="preserve">Work with key suppliers, especially for high-carbon materials, to encourage their own emission reduction initiatives.</w: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xixmswndmy</dc:title>
  <dc:creator/>
  <dc:description>Detailed Product Carbon Footprint (PCF) analysis report for the xixmswndmy product by eelnxwwker, adhering to GHG Protocol standards and 2026 requirements, performed by nfsggzpjdk.</dc:description>
  <cp:keywords/>
  <dcterms:created xsi:type="dcterms:W3CDTF">2026-05-30T18:58:36Z</dcterms:created>
  <dcterms:modified xsi:type="dcterms:W3CDTF">2026-05-30T18:58:36Z</dcterms:modified>
</cp:coreProperties>
</file>

<file path=docProps/custom.xml><?xml version="1.0" encoding="utf-8"?>
<Properties xmlns="http://schemas.openxmlformats.org/officeDocument/2006/custom-properties" xmlns:vt="http://schemas.openxmlformats.org/officeDocument/2006/docPropsVTypes"/>
</file>