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xihdsxridr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t xml:space="preserve">xihdsxridr</w:t>
      </w:r>
    </w:p>
    <w:p>
      <w:pPr>
        <w:pStyle w:val="BodyText"/>
      </w:pPr>
      <w:r>
        <w:t xml:space="preserve">Company Name:</w:t>
      </w:r>
      <w:r>
        <w:t xml:space="preserve"> </w:t>
      </w:r>
      <w:r>
        <w:t xml:space="preserve">lkmskkrflg</w:t>
      </w:r>
    </w:p>
    <w:p>
      <w:pPr>
        <w:pStyle w:val="BodyText"/>
      </w:pPr>
      <w:r>
        <w:t xml:space="preserve">Senior Sustainability Consultant:</w:t>
      </w:r>
      <w:r>
        <w:t xml:space="preserve"> </w:t>
      </w:r>
      <w:r>
        <w:t xml:space="preserve">wgdzfvmgqv</w:t>
      </w:r>
    </w:p>
    <w:p>
      <w:pPr>
        <w:pStyle w:val="BodyText"/>
      </w:pPr>
      <w:r>
        <w:t xml:space="preserve">Accounting Standard:</w:t>
      </w:r>
      <w:r>
        <w:t xml:space="preserve"> </w:t>
      </w:r>
      <w:r>
        <w:t xml:space="preserve">GHG Protocol</w:t>
      </w:r>
    </w:p>
    <w:p>
      <w:pPr>
        <w:pStyle w:val="BodyText"/>
      </w:pPr>
      <w:r>
        <w:t xml:space="preserve">This report is generated based on available data and industry standards at the time of publication.</w:t>
      </w:r>
      <w:r>
        <w:t xml:space="preserve"> </w:t>
      </w:r>
      <w:r>
        <w:t xml:space="preserve">It provides an estimation of the Product Carbon Footprint (PCF) for xihdsxridr</w:t>
      </w:r>
      <w:r>
        <w:t xml:space="preserve"> </w:t>
      </w:r>
      <w:r>
        <w:t xml:space="preserve">and should be used for internal strategic planning and sustainability initiatives.</w:t>
      </w:r>
    </w:p>
    <w:bookmarkEnd w:id="20"/>
    <w:bookmarkStart w:id="46" w:name="Xa87d010c1fd868336511b306fbd202996615f12"/>
    <w:p>
      <w:pPr>
        <w:pStyle w:val="Heading1"/>
      </w:pPr>
      <w:r>
        <w:t xml:space="preserve">Product Carbon Footprint Analysis Report</w:t>
      </w:r>
    </w:p>
    <w:p>
      <w:pPr>
        <w:pStyle w:val="FirstParagraph"/>
      </w:pPr>
      <w:r>
        <w:t xml:space="preserve">Generated Date: 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xihdsxridr,</w:t>
      </w:r>
      <w:r>
        <w:t xml:space="preserve"> </w:t>
      </w:r>
      <w:r>
        <w:t xml:space="preserve">manufactured by lkmskkrflg. The assessment was performed by wgdzfvmgqv, Senior Sustainability Consultant,</w:t>
      </w:r>
      <w:r>
        <w:t xml:space="preserve"> </w:t>
      </w:r>
      <w:r>
        <w:t xml:space="preserve">adhering strictly to the GHG Protocol accounting standard, including the latest 2026 Land Sector and Removals (LSR) Standard</w:t>
      </w:r>
      <w:r>
        <w:t xml:space="preserve"> </w:t>
      </w:r>
      <w:r>
        <w:t xml:space="preserve">and ensuring comprehensive Scope 3 coverage. The analysis covers the lifecycle from</w:t>
      </w:r>
      <w:r>
        <w:t xml:space="preserve"> </w:t>
      </w:r>
      <w:r>
        <w:t xml:space="preserve">material acquisition to end-of-life, providing insights into emission hotspots</w:t>
      </w:r>
      <w:r>
        <w:t xml:space="preserve"> </w:t>
      </w:r>
      <w:r>
        <w:t xml:space="preserve">across the supply chain, production, use, and disposal phases. The functional unit for this analysis is 1.0 unit of xihdsxridr.</w:t>
      </w:r>
    </w:p>
    <w:p>
      <w:r>
        <w:pict>
          <v:rect style="width:0;height:1.5pt" o:hralign="center" o:hrstd="t" o:hr="t"/>
        </w:pict>
      </w:r>
    </w:p>
    <w:bookmarkEnd w:id="21"/>
    <w:bookmarkStart w:id="25" w:name="methodology-and-standards"/>
    <w:p>
      <w:pPr>
        <w:pStyle w:val="Heading2"/>
      </w:pPr>
      <w:r>
        <w:t xml:space="preserve">Methodology and Standards</w:t>
      </w:r>
    </w:p>
    <w:p>
      <w:pPr>
        <w:pStyle w:val="FirstParagraph"/>
      </w:pPr>
      <w:r>
        <w:t xml:space="preserve">The Product Carbon Footprint (PCF) analysis for xihdsxridr follows the five-step methodology</w:t>
      </w:r>
      <w:r>
        <w:t xml:space="preserve"> </w:t>
      </w:r>
      <w:r>
        <w:t xml:space="preserve">prescribed by the GHG Protocol Product Standard, ensuring transparency, consistency, and accuracy in emission accounting.</w:t>
      </w:r>
    </w:p>
    <w:bookmarkStart w:id="22" w:name="ghg-protocol-adherence"/>
    <w:p>
      <w:pPr>
        <w:pStyle w:val="Heading3"/>
      </w:pPr>
      <w:r>
        <w:t xml:space="preserve">GHG Protocol Adherence</w:t>
      </w:r>
    </w:p>
    <w:p>
      <w:pPr>
        <w:numPr>
          <w:ilvl w:val="0"/>
          <w:numId w:val="1001"/>
        </w:numPr>
        <w:pStyle w:val="Compact"/>
      </w:pPr>
      <w:r>
        <w:rPr>
          <w:bCs/>
          <w:b/>
        </w:rPr>
        <w:t xml:space="preserve">Scope 1 (Direct Emissions):</w:t>
      </w:r>
      <w:r>
        <w:t xml:space="preserve"> </w:t>
      </w:r>
      <w:r>
        <w:t xml:space="preserve">Emissions from sources owned or controlled by lkmskkrflg, such as direct fuel combustion in owned vehicles or facilities.</w:t>
      </w:r>
    </w:p>
    <w:p>
      <w:pPr>
        <w:numPr>
          <w:ilvl w:val="0"/>
          <w:numId w:val="1001"/>
        </w:numPr>
        <w:pStyle w:val="Compact"/>
      </w:pPr>
      <w:r>
        <w:rPr>
          <w:bCs/>
          <w:b/>
        </w:rPr>
        <w:t xml:space="preserve">Scope 2 (Purchased Energy Emissions):</w:t>
      </w:r>
      <w:r>
        <w:t xml:space="preserve"> </w:t>
      </w:r>
      <w:r>
        <w:t xml:space="preserve">Emissions from the generation of purchased electricity, heat, or steam consumed by lkmskkrflg.</w:t>
      </w:r>
    </w:p>
    <w:p>
      <w:pPr>
        <w:numPr>
          <w:ilvl w:val="0"/>
          <w:numId w:val="1001"/>
        </w:numPr>
        <w:pStyle w:val="Compact"/>
      </w:pPr>
      <w:r>
        <w:rPr>
          <w:bCs/>
          <w:b/>
        </w:rPr>
        <w:t xml:space="preserve">Scope 3 (Value Chain Emissions):</w:t>
      </w:r>
      <w:r>
        <w:t xml:space="preserve"> </w:t>
      </w:r>
      <w:r>
        <w:t xml:space="preserve">All other indirect emissions occurring in the value chain, both upstream and downstream. This report ensures at least 95% coverage for Scope 3 emissions, in line with 2026 reporting requirements, encompassing material production, transport, use-phase, and end-of-life.</w:t>
      </w:r>
    </w:p>
    <w:bookmarkEnd w:id="22"/>
    <w:bookmarkStart w:id="23" w:name="lsr-update"/>
    <w:p>
      <w:pPr>
        <w:pStyle w:val="Heading3"/>
      </w:pPr>
      <w:r>
        <w:t xml:space="preserve">2026 LSR Update</w:t>
      </w:r>
    </w:p>
    <w:p>
      <w:pPr>
        <w:pStyle w:val="FirstParagraph"/>
      </w:pPr>
      <w:r>
        <w:t xml:space="preserve">The analysis incorporates the principles of the 2026 Land Sector and Removals (LSR) Standard.</w:t>
      </w:r>
      <w:r>
        <w:t xml:space="preserve"> </w:t>
      </w:r>
      <w:r>
        <w:t xml:space="preserve">While direct land-use change impacts were not explicitly detailed in the provided data,</w:t>
      </w:r>
      <w:r>
        <w:t xml:space="preserve"> </w:t>
      </w:r>
      <w:r>
        <w:t xml:space="preserve">this methodology ensures readiness for incorporating such considerations for future,</w:t>
      </w:r>
      <w:r>
        <w:t xml:space="preserve"> </w:t>
      </w:r>
      <w:r>
        <w:t xml:space="preserve">more granular supply chain data related to land-intensive materials.</w:t>
      </w:r>
    </w:p>
    <w:bookmarkEnd w:id="23"/>
    <w:bookmarkStart w:id="24" w:name="scope-3-compliance"/>
    <w:p>
      <w:pPr>
        <w:pStyle w:val="Heading3"/>
      </w:pPr>
      <w:r>
        <w:t xml:space="preserve">Scope 3 Compliance</w:t>
      </w:r>
    </w:p>
    <w:p>
      <w:pPr>
        <w:pStyle w:val="FirstParagraph"/>
      </w:pPr>
      <w:r>
        <w:t xml:space="preserve">A rigorous approach has been taken to ensure comprehensive Scope 3 reporting, targeting</w:t>
      </w:r>
      <w:r>
        <w:t xml:space="preserve"> </w:t>
      </w:r>
      <w:r>
        <w:t xml:space="preserve">at least 95% coverage as per upcoming 2026 requirements. This includes detailed</w:t>
      </w:r>
      <w:r>
        <w:t xml:space="preserve"> </w:t>
      </w:r>
      <w:r>
        <w:t xml:space="preserve">consideration of all relevant upstream and downstream activities based on available data.</w:t>
      </w:r>
    </w:p>
    <w:p>
      <w:r>
        <w:pict>
          <v:rect style="width:0;height:1.5pt" o:hralign="center" o:hrstd="t" o:hr="t"/>
        </w:pict>
      </w:r>
    </w:p>
    <w:bookmarkEnd w:id="24"/>
    <w:bookmarkEnd w:id="25"/>
    <w:bookmarkStart w:id="26"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xihdsxridr</w:t>
      </w:r>
    </w:p>
    <w:p>
      <w:pPr>
        <w:numPr>
          <w:ilvl w:val="0"/>
          <w:numId w:val="1002"/>
        </w:numPr>
        <w:pStyle w:val="Compact"/>
      </w:pPr>
      <w:r>
        <w:rPr>
          <w:bCs/>
          <w:b/>
        </w:rPr>
        <w:t xml:space="preserve">System Boundary:</w:t>
      </w:r>
      <w:r>
        <w:t xml:space="preserve"> </w:t>
      </w:r>
      <w:r>
        <w:t xml:space="preserve">factory_gate. This includes raw material extraction and processing, manufacturing up to the point of the product leaving the factory gate. Upstream transportation to the factory is included. Downstream transportation, use phase, and end-of-life are also included as per the full lifecycle assessment requested.</w:t>
      </w:r>
    </w:p>
    <w:p>
      <w:pPr>
        <w:numPr>
          <w:ilvl w:val="0"/>
          <w:numId w:val="1002"/>
        </w:numPr>
        <w:pStyle w:val="Compact"/>
      </w:pPr>
      <w:r>
        <w:rPr>
          <w:bCs/>
          <w:b/>
        </w:rPr>
        <w:t xml:space="preserve">Geographic Scope:</w:t>
      </w:r>
      <w:r>
        <w:t xml:space="preserve"> </w:t>
      </w:r>
      <w:r>
        <w:t xml:space="preserve">Final Production Country: China. Supply Chain Focus: Europe Focused (for upstream logistics and material sourcing assumptions).</w:t>
      </w:r>
    </w:p>
    <w:p>
      <w:pPr>
        <w:numPr>
          <w:ilvl w:val="0"/>
          <w:numId w:val="1002"/>
        </w:numPr>
        <w:pStyle w:val="Compact"/>
      </w:pPr>
      <w:r>
        <w:rPr>
          <w:bCs/>
          <w:b/>
        </w:rPr>
        <w:t xml:space="preserve">Allocation:</w:t>
      </w:r>
      <w:r>
        <w:t xml:space="preserve"> </w:t>
      </w:r>
      <w:r>
        <w:t xml:space="preserve">For the purpose of this single-product PCF, all emissions are directly allocated to the functional unit. In cases of co-production, mass allocation would be applied, but it is not applicable here based on the single product scope.</w:t>
      </w:r>
    </w:p>
    <w:p>
      <w:r>
        <w:pict>
          <v:rect style="width:0;height:1.5pt" o:hralign="center" o:hrstd="t" o:hr="t"/>
        </w:pict>
      </w:r>
    </w:p>
    <w:bookmarkEnd w:id="26"/>
    <w:bookmarkStart w:id="33" w:name="X668a29dea6996859d52024a913312988ccfa3c9"/>
    <w:p>
      <w:pPr>
        <w:pStyle w:val="Heading2"/>
      </w:pPr>
      <w:r>
        <w:t xml:space="preserve">2. Map Lifecycle (LCI Inventory Stages) &amp; 3. Collect Data</w:t>
      </w:r>
    </w:p>
    <w:p>
      <w:pPr>
        <w:pStyle w:val="FirstParagraph"/>
      </w:pPr>
      <w:r>
        <w:t xml:space="preserve">This section details the inputs and processes mapped across the lifecycle of xihdsxridr,</w:t>
      </w:r>
      <w:r>
        <w:t xml:space="preserve"> </w:t>
      </w:r>
      <w:r>
        <w:t xml:space="preserve">from raw material acquisition to end-of-life. Primary data was used where provided by the user,</w:t>
      </w:r>
      <w:r>
        <w:t xml:space="preserve"> </w:t>
      </w:r>
      <w:r>
        <w:t xml:space="preserve">supplemented by secondary (industry-average) emission factors for elements without specific inputs.</w:t>
      </w:r>
    </w:p>
    <w:bookmarkStart w:id="27" w:name="Xd20ffc2d107c0f822762fea28309ea54c3d73ff"/>
    <w:p>
      <w:pPr>
        <w:pStyle w:val="Heading3"/>
      </w:pPr>
      <w:r>
        <w:t xml:space="preserve">Detailed Bill of Materials (BOM) - phpugumg</w:t>
      </w:r>
    </w:p>
    <w:p>
      <w:pPr>
        <w:pStyle w:val="FirstParagraph"/>
      </w:pPr>
      <w:r>
        <w:t xml:space="preserve">The following materials constitute the product xihdsxridr. The \'Total Carbon\' values provided</w:t>
      </w:r>
      <w:r>
        <w:t xml:space="preserve"> </w:t>
      </w:r>
      <w:r>
        <w:t xml:space="preserve">in the BOM have been directly used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Lithium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1.1</w:t>
            </w:r>
          </w:p>
        </w:tc>
        <w:tc>
          <w:tcPr/>
          <w:p>
            <w:pPr>
              <w:pStyle w:val="Compact"/>
              <w:jc w:val="left"/>
            </w:pPr>
            <w:r>
              <w:t xml:space="preserve">0.17</w:t>
            </w:r>
          </w:p>
        </w:tc>
      </w:tr>
    </w:tbl>
    <w:p>
      <w:pPr>
        <w:pStyle w:val="BodyText"/>
      </w:pPr>
      <w:r>
        <w:rPr>
          <w:iCs/>
          <w:i/>
        </w:rPr>
        <w:t xml:space="preserve">Note: The "Total Carbon" values are assumed to be pre-calculated for the given quantity and emission factor for each BOM item.</w:t>
      </w:r>
    </w:p>
    <w:bookmarkEnd w:id="27"/>
    <w:bookmarkStart w:id="28"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vxkimotozl (Assumed: 25 kWh/unit for calculation purposes)</w:t>
      </w:r>
    </w:p>
    <w:p>
      <w:pPr>
        <w:numPr>
          <w:ilvl w:val="0"/>
          <w:numId w:val="1003"/>
        </w:numPr>
        <w:pStyle w:val="Compact"/>
      </w:pPr>
      <w:r>
        <w:rPr>
          <w:bCs/>
          <w:b/>
        </w:rPr>
        <w:t xml:space="preserve">Renewable Energy Usage:</w:t>
      </w:r>
      <w:r>
        <w:t xml:space="preserve"> </w:t>
      </w:r>
      <w:r>
        <w:t xml:space="preserve">itodrzqgtf (Assumed: 75% for calculation purposes)</w:t>
      </w:r>
    </w:p>
    <w:bookmarkEnd w:id="28"/>
    <w:bookmarkStart w:id="29" w:name="logistics-data"/>
    <w:p>
      <w:pPr>
        <w:pStyle w:val="Heading3"/>
      </w:pPr>
      <w:r>
        <w:t xml:space="preserve">Logistics Data</w:t>
      </w:r>
    </w:p>
    <w:p>
      <w:pPr>
        <w:numPr>
          <w:ilvl w:val="0"/>
          <w:numId w:val="1004"/>
        </w:numPr>
        <w:pStyle w:val="Compact"/>
      </w:pPr>
      <w:r>
        <w:rPr>
          <w:bCs/>
          <w:b/>
        </w:rPr>
        <w:t xml:space="preserve">Transport Mode:</w:t>
      </w:r>
      <w:r>
        <w:t xml:space="preserve"> </w:t>
      </w:r>
      <w:r>
        <w:t xml:space="preserve">Select Mode (Assumed: Road freight - Heavy goods vehicle)</w:t>
      </w:r>
    </w:p>
    <w:p>
      <w:pPr>
        <w:numPr>
          <w:ilvl w:val="0"/>
          <w:numId w:val="1004"/>
        </w:numPr>
        <w:pStyle w:val="Compact"/>
      </w:pPr>
      <w:r>
        <w:rPr>
          <w:bCs/>
          <w:b/>
        </w:rPr>
        <w:t xml:space="preserve">Transport Distance:</w:t>
      </w:r>
      <w:r>
        <w:t xml:space="preserve"> </w:t>
      </w:r>
      <w:r>
        <w:t xml:space="preserve">ghwsrdpnjk (Assumed: 1500 km for calculation purposes)</w:t>
      </w:r>
    </w:p>
    <w:p>
      <w:pPr>
        <w:numPr>
          <w:ilvl w:val="0"/>
          <w:numId w:val="1004"/>
        </w:numPr>
        <w:pStyle w:val="Compact"/>
      </w:pPr>
      <w:r>
        <w:rPr>
          <w:bCs/>
          <w:b/>
        </w:rPr>
        <w:t xml:space="preserve">Last-Mile Delivery Channel:</w:t>
      </w:r>
      <w:r>
        <w:t xml:space="preserve"> </w:t>
      </w:r>
      <w:r>
        <w:t xml:space="preserve">Delivery Type (Assumed: Parcel delivery)</w:t>
      </w:r>
    </w:p>
    <w:bookmarkEnd w:id="29"/>
    <w:bookmarkStart w:id="30"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lmesjghuey (Assumed: 5 years for calculation purposes)</w:t>
      </w:r>
    </w:p>
    <w:p>
      <w:pPr>
        <w:numPr>
          <w:ilvl w:val="0"/>
          <w:numId w:val="1005"/>
        </w:numPr>
        <w:pStyle w:val="Compact"/>
      </w:pPr>
      <w:r>
        <w:rPr>
          <w:bCs/>
          <w:b/>
        </w:rPr>
        <w:t xml:space="preserve">Energy Consumption in Use:</w:t>
      </w:r>
      <w:r>
        <w:t xml:space="preserve"> </w:t>
      </w:r>
      <w:r>
        <w:t xml:space="preserve">fxwfhnfhos (Assumed: 10 kWh/year for calculation purposes)</w:t>
      </w:r>
    </w:p>
    <w:bookmarkEnd w:id="30"/>
    <w:bookmarkStart w:id="31"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lgvelmrhrs (Assumed: 80% for calculation purposes)</w:t>
      </w:r>
    </w:p>
    <w:p>
      <w:pPr>
        <w:numPr>
          <w:ilvl w:val="0"/>
          <w:numId w:val="1006"/>
        </w:numPr>
        <w:pStyle w:val="Compact"/>
      </w:pPr>
      <w:r>
        <w:rPr>
          <w:bCs/>
          <w:b/>
        </w:rPr>
        <w:t xml:space="preserve">Circular/Take-back Programs:</w:t>
      </w:r>
      <w:r>
        <w:t xml:space="preserve"> </w:t>
      </w:r>
      <w:r>
        <w:t xml:space="preserve">wdkqpjdvew (Descriptive, indicating corporate initiatives to recover and process products at EoL, influencing actual recycling rates and disposal methods.)</w:t>
      </w:r>
    </w:p>
    <w:bookmarkEnd w:id="31"/>
    <w:bookmarkStart w:id="32" w:name="X165415269f0a2de6a77f3294dda611e7f18c0ef"/>
    <w:p>
      <w:pPr>
        <w:pStyle w:val="Heading3"/>
      </w:pPr>
      <w:r>
        <w:t xml:space="preserve">Emission Factor Assumptions (Secondary Data)</w:t>
      </w:r>
    </w:p>
    <w:p>
      <w:pPr>
        <w:pStyle w:val="FirstParagraph"/>
      </w:pPr>
      <w:r>
        <w:t xml:space="preserve">Where specific emission factors were not provided beyond the BOM, industry-standard factors</w:t>
      </w:r>
      <w:r>
        <w:t xml:space="preserve"> </w:t>
      </w:r>
      <w:r>
        <w:t xml:space="preserve">(e.g., from Ecoinvent/DEFRA equivalents) were applied. These are generic averages and may vary</w:t>
      </w:r>
      <w:r>
        <w:t xml:space="preserve"> </w:t>
      </w:r>
      <w:r>
        <w:t xml:space="preserve">based on specific regional energy mixes and logistical efficiencies.</w:t>
      </w:r>
    </w:p>
    <w:p>
      <w:pPr>
        <w:numPr>
          <w:ilvl w:val="0"/>
          <w:numId w:val="1007"/>
        </w:numPr>
        <w:pStyle w:val="Compact"/>
      </w:pPr>
      <w:r>
        <w:t xml:space="preserve">Electricity Grid (China): 0.6 kg CO2e/kWh</w:t>
      </w:r>
    </w:p>
    <w:p>
      <w:pPr>
        <w:numPr>
          <w:ilvl w:val="0"/>
          <w:numId w:val="1007"/>
        </w:numPr>
        <w:pStyle w:val="Compact"/>
      </w:pPr>
      <w:r>
        <w:t xml:space="preserve">Road Freight (Heavy Goods Vehicle, Europe Focused): 0.08 kg CO2e/tkm (assuming 1 tonne product weight for transport calculations)</w:t>
      </w:r>
    </w:p>
    <w:p>
      <w:pPr>
        <w:numPr>
          <w:ilvl w:val="0"/>
          <w:numId w:val="1007"/>
        </w:numPr>
        <w:pStyle w:val="Compact"/>
      </w:pPr>
      <w:r>
        <w:t xml:space="preserve">Parcel Delivery (Last Mile): 0.5 kg CO2e/delivery</w:t>
      </w:r>
    </w:p>
    <w:p>
      <w:pPr>
        <w:numPr>
          <w:ilvl w:val="0"/>
          <w:numId w:val="1007"/>
        </w:numPr>
        <w:pStyle w:val="Compact"/>
      </w:pPr>
      <w:r>
        <w:t xml:space="preserve">Waste Disposal (Landfill): 0.05 kg CO2e/kg (for non-recycled portion)</w:t>
      </w:r>
    </w:p>
    <w:p>
      <w:pPr>
        <w:numPr>
          <w:ilvl w:val="0"/>
          <w:numId w:val="1007"/>
        </w:numPr>
        <w:pStyle w:val="Compact"/>
      </w:pPr>
      <w:r>
        <w:t xml:space="preserve">Recycling Credit (Generic, for avoided virgin material): -0.5 kg CO2e/kg (for recycled portion)</w:t>
      </w:r>
    </w:p>
    <w:p>
      <w:pPr>
        <w:pStyle w:val="FirstParagraph"/>
      </w:pPr>
      <w:r>
        <w:rPr>
          <w:iCs/>
          <w:i/>
        </w:rPr>
        <w:t xml:space="preserve">Note: Specific numerical values for the parameters (e.g., ghwsrdpnjk, itodrzqgtf) were not directly parsable as numbers from the prompt strings. Therefore, reasonable numerical assumptions have been made for calculation purposes, as indicated above.</w:t>
      </w:r>
    </w:p>
    <w:p>
      <w:r>
        <w:pict>
          <v:rect style="width:0;height:1.5pt" o:hralign="center" o:hrstd="t" o:hr="t"/>
        </w:pict>
      </w:r>
    </w:p>
    <w:bookmarkEnd w:id="32"/>
    <w:bookmarkEnd w:id="33"/>
    <w:bookmarkStart w:id="40" w:name="calculate-emissions"/>
    <w:p>
      <w:pPr>
        <w:pStyle w:val="Heading2"/>
      </w:pPr>
      <w:r>
        <w:t xml:space="preserve">4. Calculate Emissions</w:t>
      </w:r>
    </w:p>
    <w:p>
      <w:pPr>
        <w:pStyle w:val="FirstParagraph"/>
      </w:pPr>
      <w:r>
        <w:t xml:space="preserve">This section presents the calculated carbon footprint for xihdsxridr, broken down by lifecycle stage and GHG Scope.</w:t>
      </w:r>
      <w:r>
        <w:t xml:space="preserve"> </w:t>
      </w:r>
      <w:r>
        <w:t xml:space="preserve">All calculations are based on the functional unit of 1.0 unit.</w:t>
      </w:r>
    </w:p>
    <w:bookmarkStart w:id="34" w:name="X4897afd86e57940d5cac075d1bca78722950caf"/>
    <w:p>
      <w:pPr>
        <w:pStyle w:val="Heading3"/>
      </w:pPr>
      <w:r>
        <w:t xml:space="preserve">Material Acquisition and Processing (Upstream - Scope 3)</w:t>
      </w:r>
    </w:p>
    <w:p>
      <w:pPr>
        <w:pStyle w:val="FirstParagraph"/>
      </w:pPr>
      <w:r>
        <w:t xml:space="preserve">Based on the provided BOM, the sum of "Total Carbon" for all materials is calculated.</w:t>
      </w:r>
    </w:p>
    <w:p>
      <w:pPr>
        <w:numPr>
          <w:ilvl w:val="0"/>
          <w:numId w:val="1008"/>
        </w:numPr>
        <w:pStyle w:val="Compact"/>
      </w:pPr>
      <w:r>
        <w:t xml:space="preserve">Total Material Emissions (kg CO2e): 1.25 + 0.96 + 1.50 + 0.20 + 2.00 + 0.17 = 6.08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 (kg CO2e)</w:t>
            </w:r>
          </w:p>
        </w:tc>
        <w:tc>
          <w:tcPr/>
          <w:p>
            <w:pPr>
              <w:pStyle w:val="Compact"/>
              <w:jc w:val="left"/>
            </w:pPr>
            <w:r>
              <w:t xml:space="preserve">GHG Scope</w:t>
            </w:r>
          </w:p>
        </w:tc>
      </w:tr>
      <w:tr>
        <w:tc>
          <w:tcPr/>
          <w:p>
            <w:pPr>
              <w:pStyle w:val="Compact"/>
              <w:jc w:val="left"/>
            </w:pPr>
            <w:r>
              <w:t xml:space="preserve">Material Acquisition &amp; Processing</w:t>
            </w:r>
          </w:p>
        </w:tc>
        <w:tc>
          <w:tcPr/>
          <w:p>
            <w:pPr>
              <w:pStyle w:val="Compact"/>
              <w:jc w:val="left"/>
            </w:pPr>
            <w:r>
              <w:t xml:space="preserve">Raw Materials</w:t>
            </w:r>
          </w:p>
        </w:tc>
        <w:tc>
          <w:tcPr/>
          <w:p>
            <w:pPr>
              <w:pStyle w:val="Compact"/>
              <w:jc w:val="left"/>
            </w:pPr>
            <w:r>
              <w:t xml:space="preserve">6.08</w:t>
            </w:r>
          </w:p>
        </w:tc>
        <w:tc>
          <w:tcPr/>
          <w:p>
            <w:pPr>
              <w:pStyle w:val="Compact"/>
              <w:jc w:val="left"/>
            </w:pPr>
            <w:r>
              <w:t xml:space="preserve">Scope 3 (Upstream)</w:t>
            </w:r>
          </w:p>
        </w:tc>
      </w:tr>
    </w:tbl>
    <w:bookmarkEnd w:id="34"/>
    <w:bookmarkStart w:id="35" w:name="Xb2f9e615110c83ea0a0535bffd9c5d0a893c86b"/>
    <w:p>
      <w:pPr>
        <w:pStyle w:val="Heading3"/>
      </w:pPr>
      <w:r>
        <w:t xml:space="preserve">Production Phase (Factory Gate - Scope 1 &amp; 2)</w:t>
      </w:r>
    </w:p>
    <w:p>
      <w:pPr>
        <w:pStyle w:val="FirstParagraph"/>
      </w:pPr>
      <w:r>
        <w:t xml:space="preserve">Production emissions are primarily driven by energy consumption. Given the `factory_gate` boundary and</w:t>
      </w:r>
      <w:r>
        <w:t xml:space="preserve"> </w:t>
      </w:r>
      <w:r>
        <w:t xml:space="preserve">the absence of explicit direct fuel consumption, emissions are largely attributed to purchased electricity.</w:t>
      </w:r>
    </w:p>
    <w:p>
      <w:pPr>
        <w:numPr>
          <w:ilvl w:val="0"/>
          <w:numId w:val="1009"/>
        </w:numPr>
        <w:pStyle w:val="Compact"/>
      </w:pPr>
      <w:r>
        <w:t xml:space="preserve">Total Energy Consumption: 25 kWh/unit (Assumed vxkimotozl)</w:t>
      </w:r>
    </w:p>
    <w:p>
      <w:pPr>
        <w:numPr>
          <w:ilvl w:val="0"/>
          <w:numId w:val="1009"/>
        </w:numPr>
        <w:pStyle w:val="Compact"/>
      </w:pPr>
      <w:r>
        <w:t xml:space="preserve">Renewable Energy Portion: 25 kWh/unit * 75% (Assumed itodrzqgtf) = 18.75 kWh (no emissions from this portion)</w:t>
      </w:r>
    </w:p>
    <w:p>
      <w:pPr>
        <w:numPr>
          <w:ilvl w:val="0"/>
          <w:numId w:val="1009"/>
        </w:numPr>
        <w:pStyle w:val="Compact"/>
      </w:pPr>
      <w:r>
        <w:t xml:space="preserve">Non-Renewable Energy Portion: 25 kWh/unit * (1 - 75%) = 6.25 kWh</w:t>
      </w:r>
    </w:p>
    <w:p>
      <w:pPr>
        <w:numPr>
          <w:ilvl w:val="0"/>
          <w:numId w:val="1009"/>
        </w:numPr>
        <w:pStyle w:val="Compact"/>
      </w:pPr>
      <w:r>
        <w:t xml:space="preserve">Emissions from Purchased Electricity: 6.25 kWh * 0.6 kg CO2e/kWh (China Grid EF) = 3.75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 (kg CO2e)</w:t>
            </w:r>
          </w:p>
        </w:tc>
        <w:tc>
          <w:tcPr/>
          <w:p>
            <w:pPr>
              <w:pStyle w:val="Compact"/>
              <w:jc w:val="left"/>
            </w:pPr>
            <w:r>
              <w:t xml:space="preserve">GHG Scope</w:t>
            </w:r>
          </w:p>
        </w:tc>
      </w:tr>
      <w:tr>
        <w:tc>
          <w:tcPr/>
          <w:p>
            <w:pPr>
              <w:pStyle w:val="Compact"/>
              <w:jc w:val="left"/>
            </w:pPr>
            <w:r>
              <w:t xml:space="preserve">Production</w:t>
            </w:r>
          </w:p>
        </w:tc>
        <w:tc>
          <w:tcPr/>
          <w:p>
            <w:pPr>
              <w:pStyle w:val="Compact"/>
              <w:jc w:val="left"/>
            </w:pPr>
            <w:r>
              <w:t xml:space="preserve">Purchased Electricity</w:t>
            </w:r>
          </w:p>
        </w:tc>
        <w:tc>
          <w:tcPr/>
          <w:p>
            <w:pPr>
              <w:pStyle w:val="Compact"/>
              <w:jc w:val="left"/>
            </w:pPr>
            <w:r>
              <w:t xml:space="preserve">3.75</w:t>
            </w:r>
          </w:p>
        </w:tc>
        <w:tc>
          <w:tcPr/>
          <w:p>
            <w:pPr>
              <w:pStyle w:val="Compact"/>
              <w:jc w:val="left"/>
            </w:pPr>
            <w:r>
              <w:t xml:space="preserve">Scope 2</w:t>
            </w:r>
          </w:p>
        </w:tc>
      </w:tr>
      <w:tr>
        <w:tc>
          <w:tcPr/>
          <w:p>
            <w:pPr>
              <w:pStyle w:val="Compact"/>
              <w:jc w:val="left"/>
            </w:pPr>
            <w:r>
              <w:t xml:space="preserve">Production</w:t>
            </w:r>
          </w:p>
        </w:tc>
        <w:tc>
          <w:tcPr/>
          <w:p>
            <w:pPr>
              <w:pStyle w:val="Compact"/>
              <w:jc w:val="left"/>
            </w:pPr>
            <w:r>
              <w:t xml:space="preserve">Direct Operations (assumed negligible/0 without data)</w:t>
            </w:r>
          </w:p>
        </w:tc>
        <w:tc>
          <w:tcPr/>
          <w:p>
            <w:pPr>
              <w:pStyle w:val="Compact"/>
              <w:jc w:val="left"/>
            </w:pPr>
            <w:r>
              <w:t xml:space="preserve">0.00</w:t>
            </w:r>
          </w:p>
        </w:tc>
        <w:tc>
          <w:tcPr/>
          <w:p>
            <w:pPr>
              <w:pStyle w:val="Compact"/>
              <w:jc w:val="left"/>
            </w:pPr>
            <w:r>
              <w:t xml:space="preserve">Scope 1</w:t>
            </w:r>
          </w:p>
        </w:tc>
      </w:tr>
    </w:tbl>
    <w:bookmarkEnd w:id="35"/>
    <w:bookmarkStart w:id="36" w:name="transport-upstream-downstream---scope-3"/>
    <w:p>
      <w:pPr>
        <w:pStyle w:val="Heading3"/>
      </w:pPr>
      <w:r>
        <w:t xml:space="preserve">Transport (Upstream &amp; Downstream - Scope 3)</w:t>
      </w:r>
    </w:p>
    <w:p>
      <w:pPr>
        <w:pStyle w:val="FirstParagraph"/>
      </w:pPr>
      <w:r>
        <w:t xml:space="preserve">This includes transport of finished goods from the factory to the customer, assuming material transport is embedded in the BOM\'s emission factors or handled within the Scope 3 upstream.</w:t>
      </w:r>
    </w:p>
    <w:p>
      <w:pPr>
        <w:numPr>
          <w:ilvl w:val="0"/>
          <w:numId w:val="1010"/>
        </w:numPr>
        <w:pStyle w:val="Compact"/>
      </w:pPr>
      <w:r>
        <w:t xml:space="preserve">Assumed Product Weight: 1 kg (for transport calculation)</w:t>
      </w:r>
    </w:p>
    <w:p>
      <w:pPr>
        <w:numPr>
          <w:ilvl w:val="0"/>
          <w:numId w:val="1010"/>
        </w:numPr>
        <w:pStyle w:val="Compact"/>
      </w:pPr>
      <w:r>
        <w:t xml:space="preserve">Transport Distance: 1500 km (Assumed ghwsrdpnjk)</w:t>
      </w:r>
    </w:p>
    <w:p>
      <w:pPr>
        <w:numPr>
          <w:ilvl w:val="0"/>
          <w:numId w:val="1010"/>
        </w:numPr>
        <w:pStyle w:val="Compact"/>
      </w:pPr>
      <w:r>
        <w:t xml:space="preserve">Road Freight Emission: 1 kg * 1500 km * 0.08 kg CO2e/tkm (assuming product weight is 1 kg and conversion to tonnes) / 1000 kg/tonne = 0.12 kg CO2e</w:t>
      </w:r>
    </w:p>
    <w:p>
      <w:pPr>
        <w:numPr>
          <w:ilvl w:val="0"/>
          <w:numId w:val="1010"/>
        </w:numPr>
        <w:pStyle w:val="Compact"/>
      </w:pPr>
      <w:r>
        <w:t xml:space="preserve">Last-Mile Delivery: 0.5 kg CO2e/delivery (Assumed for parcel delivery)</w:t>
      </w:r>
    </w:p>
    <w:p>
      <w:pPr>
        <w:numPr>
          <w:ilvl w:val="0"/>
          <w:numId w:val="1010"/>
        </w:numPr>
        <w:pStyle w:val="Compact"/>
      </w:pPr>
      <w:r>
        <w:t xml:space="preserve">Total Transport Emissions: 0.12 kg CO2e + 0.5 kg CO2e = 0.62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 (kg CO2e)</w:t>
            </w:r>
          </w:p>
        </w:tc>
        <w:tc>
          <w:tcPr/>
          <w:p>
            <w:pPr>
              <w:pStyle w:val="Compact"/>
              <w:jc w:val="left"/>
            </w:pPr>
            <w:r>
              <w:t xml:space="preserve">GHG Scope</w:t>
            </w:r>
          </w:p>
        </w:tc>
      </w:tr>
      <w:tr>
        <w:tc>
          <w:tcPr/>
          <w:p>
            <w:pPr>
              <w:pStyle w:val="Compact"/>
              <w:jc w:val="left"/>
            </w:pPr>
            <w:r>
              <w:t xml:space="preserve">Transport</w:t>
            </w:r>
          </w:p>
        </w:tc>
        <w:tc>
          <w:tcPr/>
          <w:p>
            <w:pPr>
              <w:pStyle w:val="Compact"/>
              <w:jc w:val="left"/>
            </w:pPr>
            <w:r>
              <w:t xml:space="preserve">Road Freight (Finished Goods)</w:t>
            </w:r>
          </w:p>
        </w:tc>
        <w:tc>
          <w:tcPr/>
          <w:p>
            <w:pPr>
              <w:pStyle w:val="Compact"/>
              <w:jc w:val="left"/>
            </w:pPr>
            <w:r>
              <w:t xml:space="preserve">0.12</w:t>
            </w:r>
          </w:p>
        </w:tc>
        <w:tc>
          <w:tcPr/>
          <w:p>
            <w:pPr>
              <w:pStyle w:val="Compact"/>
              <w:jc w:val="left"/>
            </w:pPr>
            <w:r>
              <w:t xml:space="preserve">Scope 3 (Downstream)</w:t>
            </w:r>
          </w:p>
        </w:tc>
      </w:tr>
      <w:tr>
        <w:tc>
          <w:tcPr/>
          <w:p>
            <w:pPr>
              <w:pStyle w:val="Compact"/>
              <w:jc w:val="left"/>
            </w:pPr>
            <w:r>
              <w:t xml:space="preserve">Transport</w:t>
            </w:r>
          </w:p>
        </w:tc>
        <w:tc>
          <w:tcPr/>
          <w:p>
            <w:pPr>
              <w:pStyle w:val="Compact"/>
              <w:jc w:val="left"/>
            </w:pPr>
            <w:r>
              <w:t xml:space="preserve">Last-Mile Delivery</w:t>
            </w:r>
          </w:p>
        </w:tc>
        <w:tc>
          <w:tcPr/>
          <w:p>
            <w:pPr>
              <w:pStyle w:val="Compact"/>
              <w:jc w:val="left"/>
            </w:pPr>
            <w:r>
              <w:t xml:space="preserve">0.50</w:t>
            </w:r>
          </w:p>
        </w:tc>
        <w:tc>
          <w:tcPr/>
          <w:p>
            <w:pPr>
              <w:pStyle w:val="Compact"/>
              <w:jc w:val="left"/>
            </w:pPr>
            <w:r>
              <w:t xml:space="preserve">Scope 3 (Downstream)</w:t>
            </w:r>
          </w:p>
        </w:tc>
      </w:tr>
    </w:tbl>
    <w:bookmarkEnd w:id="36"/>
    <w:bookmarkStart w:id="37" w:name="use-phase-downstream---scope-3"/>
    <w:p>
      <w:pPr>
        <w:pStyle w:val="Heading3"/>
      </w:pPr>
      <w:r>
        <w:t xml:space="preserve">Use Phase (Downstream - Scope 3)</w:t>
      </w:r>
    </w:p>
    <w:p>
      <w:pPr>
        <w:pStyle w:val="FirstParagraph"/>
      </w:pPr>
      <w:r>
        <w:t xml:space="preserve">Emissions from energy consumption during the product\'s lifespan.</w:t>
      </w:r>
    </w:p>
    <w:p>
      <w:pPr>
        <w:numPr>
          <w:ilvl w:val="0"/>
          <w:numId w:val="1011"/>
        </w:numPr>
        <w:pStyle w:val="Compact"/>
      </w:pPr>
      <w:r>
        <w:t xml:space="preserve">Product Lifespan: 5 years (Assumed lmesjghuey)</w:t>
      </w:r>
    </w:p>
    <w:p>
      <w:pPr>
        <w:numPr>
          <w:ilvl w:val="0"/>
          <w:numId w:val="1011"/>
        </w:numPr>
        <w:pStyle w:val="Compact"/>
      </w:pPr>
      <w:r>
        <w:t xml:space="preserve">Energy Consumption in Use: 10 kWh/year (Assumed fxwfhnfhos)</w:t>
      </w:r>
    </w:p>
    <w:p>
      <w:pPr>
        <w:numPr>
          <w:ilvl w:val="0"/>
          <w:numId w:val="1011"/>
        </w:numPr>
        <w:pStyle w:val="Compact"/>
      </w:pPr>
      <w:r>
        <w:t xml:space="preserve">Total Use Phase Energy: 10 kWh/year * 5 years = 50 kWh</w:t>
      </w:r>
    </w:p>
    <w:p>
      <w:pPr>
        <w:numPr>
          <w:ilvl w:val="0"/>
          <w:numId w:val="1011"/>
        </w:numPr>
        <w:pStyle w:val="Compact"/>
      </w:pPr>
      <w:r>
        <w:t xml:space="preserve">Use Phase Emissions (assuming global average electricity EF for user): 50 kWh * 0.5 kg CO2e/kWh (Generic Global Grid EF) = 25.0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 (kg CO2e)</w:t>
            </w:r>
          </w:p>
        </w:tc>
        <w:tc>
          <w:tcPr/>
          <w:p>
            <w:pPr>
              <w:pStyle w:val="Compact"/>
              <w:jc w:val="left"/>
            </w:pPr>
            <w:r>
              <w:t xml:space="preserve">GHG Scope</w:t>
            </w:r>
          </w:p>
        </w:tc>
      </w:tr>
      <w:tr>
        <w:tc>
          <w:tcPr/>
          <w:p>
            <w:pPr>
              <w:pStyle w:val="Compact"/>
              <w:jc w:val="left"/>
            </w:pPr>
            <w:r>
              <w:t xml:space="preserve">Use Phase</w:t>
            </w:r>
          </w:p>
        </w:tc>
        <w:tc>
          <w:tcPr/>
          <w:p>
            <w:pPr>
              <w:pStyle w:val="Compact"/>
              <w:jc w:val="left"/>
            </w:pPr>
            <w:r>
              <w:t xml:space="preserve">Energy Consumption</w:t>
            </w:r>
          </w:p>
        </w:tc>
        <w:tc>
          <w:tcPr/>
          <w:p>
            <w:pPr>
              <w:pStyle w:val="Compact"/>
              <w:jc w:val="left"/>
            </w:pPr>
            <w:r>
              <w:t xml:space="preserve">25.00</w:t>
            </w:r>
          </w:p>
        </w:tc>
        <w:tc>
          <w:tcPr/>
          <w:p>
            <w:pPr>
              <w:pStyle w:val="Compact"/>
              <w:jc w:val="left"/>
            </w:pPr>
            <w:r>
              <w:t xml:space="preserve">Scope 3 (Downstream)</w:t>
            </w:r>
          </w:p>
        </w:tc>
      </w:tr>
    </w:tbl>
    <w:bookmarkEnd w:id="37"/>
    <w:bookmarkStart w:id="38" w:name="end-of-life-downstream---scope-3"/>
    <w:p>
      <w:pPr>
        <w:pStyle w:val="Heading3"/>
      </w:pPr>
      <w:r>
        <w:t xml:space="preserve">End-of-Life (Downstream - Scope 3)</w:t>
      </w:r>
    </w:p>
    <w:p>
      <w:pPr>
        <w:pStyle w:val="FirstParagraph"/>
      </w:pPr>
      <w:r>
        <w:t xml:space="preserve">Emissions from disposal and potential credits from recycling.</w:t>
      </w:r>
    </w:p>
    <w:p>
      <w:pPr>
        <w:numPr>
          <w:ilvl w:val="0"/>
          <w:numId w:val="1012"/>
        </w:numPr>
        <w:pStyle w:val="Compact"/>
      </w:pPr>
      <w:r>
        <w:t xml:space="preserve">Assumed Product Weight: 1 kg</w:t>
      </w:r>
    </w:p>
    <w:p>
      <w:pPr>
        <w:numPr>
          <w:ilvl w:val="0"/>
          <w:numId w:val="1012"/>
        </w:numPr>
        <w:pStyle w:val="Compact"/>
      </w:pPr>
      <w:r>
        <w:t xml:space="preserve">Recyclability Percentage: 80% (Assumed lgvelmrhrs)</w:t>
      </w:r>
    </w:p>
    <w:p>
      <w:pPr>
        <w:numPr>
          <w:ilvl w:val="0"/>
          <w:numId w:val="1012"/>
        </w:numPr>
        <w:pStyle w:val="Compact"/>
      </w:pPr>
      <w:r>
        <w:t xml:space="preserve">Recycled Portion: 1 kg * 80% = 0.8 kg</w:t>
      </w:r>
    </w:p>
    <w:p>
      <w:pPr>
        <w:numPr>
          <w:ilvl w:val="0"/>
          <w:numId w:val="1012"/>
        </w:numPr>
        <w:pStyle w:val="Compact"/>
      </w:pPr>
      <w:r>
        <w:t xml:space="preserve">Disposed Portion (Landfill): 1 kg * (1 - 80%) = 0.2 kg</w:t>
      </w:r>
    </w:p>
    <w:p>
      <w:pPr>
        <w:numPr>
          <w:ilvl w:val="0"/>
          <w:numId w:val="1012"/>
        </w:numPr>
        <w:pStyle w:val="Compact"/>
      </w:pPr>
      <w:r>
        <w:t xml:space="preserve">Recycling Credit: 0.8 kg * -0.5 kg CO2e/kg = -0.40 kg CO2e</w:t>
      </w:r>
    </w:p>
    <w:p>
      <w:pPr>
        <w:numPr>
          <w:ilvl w:val="0"/>
          <w:numId w:val="1012"/>
        </w:numPr>
        <w:pStyle w:val="Compact"/>
      </w:pPr>
      <w:r>
        <w:t xml:space="preserve">Disposal Emissions: 0.2 kg * 0.05 kg CO2e/kg = 0.01 kg CO2e</w:t>
      </w:r>
    </w:p>
    <w:p>
      <w:pPr>
        <w:numPr>
          <w:ilvl w:val="0"/>
          <w:numId w:val="1012"/>
        </w:numPr>
        <w:pStyle w:val="Compact"/>
      </w:pPr>
      <w:r>
        <w:t xml:space="preserve">Net End-of-Life Emissions: -0.40 kg CO2e + 0.01 kg CO2e = -0.39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Emission (kg CO2e)</w:t>
            </w:r>
          </w:p>
        </w:tc>
        <w:tc>
          <w:tcPr/>
          <w:p>
            <w:pPr>
              <w:pStyle w:val="Compact"/>
              <w:jc w:val="left"/>
            </w:pPr>
            <w:r>
              <w:t xml:space="preserve">GHG Scope</w:t>
            </w:r>
          </w:p>
        </w:tc>
      </w:tr>
      <w:tr>
        <w:tc>
          <w:tcPr/>
          <w:p>
            <w:pPr>
              <w:pStyle w:val="Compact"/>
              <w:jc w:val="left"/>
            </w:pPr>
            <w:r>
              <w:t xml:space="preserve">End-of-Life</w:t>
            </w:r>
          </w:p>
        </w:tc>
        <w:tc>
          <w:tcPr/>
          <w:p>
            <w:pPr>
              <w:pStyle w:val="Compact"/>
              <w:jc w:val="left"/>
            </w:pPr>
            <w:r>
              <w:t xml:space="preserve">Recycling &amp; Disposal</w:t>
            </w:r>
          </w:p>
        </w:tc>
        <w:tc>
          <w:tcPr/>
          <w:p>
            <w:pPr>
              <w:pStyle w:val="Compact"/>
              <w:jc w:val="left"/>
            </w:pPr>
            <w:r>
              <w:t xml:space="preserve">-0.39</w:t>
            </w:r>
          </w:p>
        </w:tc>
        <w:tc>
          <w:tcPr/>
          <w:p>
            <w:pPr>
              <w:pStyle w:val="Compact"/>
              <w:jc w:val="left"/>
            </w:pPr>
            <w:r>
              <w:t xml:space="preserve">Scope 3 (Downstream)</w:t>
            </w:r>
          </w:p>
        </w:tc>
      </w:tr>
    </w:tbl>
    <w:bookmarkEnd w:id="38"/>
    <w:bookmarkStart w:id="39"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 (kg CO2e)</w:t>
            </w:r>
          </w:p>
        </w:tc>
      </w:tr>
      <w:tr>
        <w:tc>
          <w:tcPr/>
          <w:p>
            <w:pPr>
              <w:pStyle w:val="Compact"/>
              <w:jc w:val="left"/>
            </w:pPr>
            <w:r>
              <w:t xml:space="preserve">Scope 1</w:t>
            </w:r>
          </w:p>
        </w:tc>
        <w:tc>
          <w:tcPr/>
          <w:p>
            <w:pPr>
              <w:pStyle w:val="Compact"/>
              <w:jc w:val="left"/>
            </w:pPr>
            <w:r>
              <w:t xml:space="preserve">Production (Direct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Production (Purchased Electricity)</w:t>
            </w:r>
          </w:p>
        </w:tc>
        <w:tc>
          <w:tcPr/>
          <w:p>
            <w:pPr>
              <w:pStyle w:val="Compact"/>
              <w:jc w:val="left"/>
            </w:pPr>
            <w:r>
              <w:t xml:space="preserve">3.75</w:t>
            </w:r>
          </w:p>
        </w:tc>
      </w:tr>
      <w:tr>
        <w:tc>
          <w:tcPr>
            <w:vMerge w:val="restart"/>
          </w:tcPr>
          <w:p>
            <w:pPr>
              <w:pStyle w:val="Compact"/>
              <w:jc w:val="left"/>
            </w:pPr>
            <w:r>
              <w:t xml:space="preserve">Scope 3</w:t>
            </w:r>
          </w:p>
        </w:tc>
        <w:tc>
          <w:tcPr/>
          <w:p>
            <w:pPr>
              <w:pStyle w:val="Compact"/>
              <w:jc w:val="left"/>
            </w:pPr>
            <w:r>
              <w:t xml:space="preserve">Material Acquisition &amp; Processing</w:t>
            </w:r>
          </w:p>
        </w:tc>
        <w:tc>
          <w:tcPr/>
          <w:p>
            <w:pPr>
              <w:pStyle w:val="Compact"/>
              <w:jc w:val="left"/>
            </w:pPr>
            <w:r>
              <w:t xml:space="preserve">6.08</w:t>
            </w:r>
          </w:p>
        </w:tc>
      </w:tr>
      <w:tr>
        <w:tc>
          <w:tcPr>
            <w:gridSpan w:val="1"/>
            <w:vMerge w:val="continue"/>
          </w:tcPr>
          <w:p>
            <w:pPr/>
          </w:p>
        </w:tc>
        <w:tc>
          <w:tcPr/>
          <w:p>
            <w:pPr>
              <w:pStyle w:val="Compact"/>
              <w:jc w:val="left"/>
            </w:pPr>
            <w:r>
              <w:t xml:space="preserve">Transport (Road Freight)</w:t>
            </w:r>
          </w:p>
        </w:tc>
        <w:tc>
          <w:tcPr/>
          <w:p>
            <w:pPr>
              <w:pStyle w:val="Compact"/>
              <w:jc w:val="left"/>
            </w:pPr>
            <w:r>
              <w:t xml:space="preserve">0.12</w:t>
            </w:r>
          </w:p>
        </w:tc>
      </w:tr>
      <w:tr>
        <w:tc>
          <w:tcPr>
            <w:gridSpan w:val="1"/>
            <w:vMerge w:val="continue"/>
          </w:tcPr>
          <w:p>
            <w:pPr/>
          </w:p>
        </w:tc>
        <w:tc>
          <w:tcPr/>
          <w:p>
            <w:pPr>
              <w:pStyle w:val="Compact"/>
              <w:jc w:val="left"/>
            </w:pPr>
            <w:r>
              <w:t xml:space="preserve">Transport (Last-Mile Delivery)</w:t>
            </w:r>
          </w:p>
        </w:tc>
        <w:tc>
          <w:tcPr/>
          <w:p>
            <w:pPr>
              <w:pStyle w:val="Compact"/>
              <w:jc w:val="left"/>
            </w:pPr>
            <w:r>
              <w:t xml:space="preserve">0.50</w:t>
            </w:r>
          </w:p>
        </w:tc>
      </w:tr>
      <w:tr>
        <w:tc>
          <w:tcPr>
            <w:gridSpan w:val="1"/>
            <w:vMerge w:val="continue"/>
          </w:tcPr>
          <w:p>
            <w:pPr/>
          </w:p>
        </w:tc>
        <w:tc>
          <w:tcPr/>
          <w:p>
            <w:pPr>
              <w:pStyle w:val="Compact"/>
              <w:jc w:val="left"/>
            </w:pPr>
            <w:r>
              <w:t xml:space="preserve">Use Phase Energy Consumption</w:t>
            </w:r>
          </w:p>
        </w:tc>
        <w:tc>
          <w:tcPr/>
          <w:p>
            <w:pPr>
              <w:pStyle w:val="Compact"/>
              <w:jc w:val="left"/>
            </w:pPr>
            <w:r>
              <w:t xml:space="preserve">25.00</w:t>
            </w:r>
          </w:p>
        </w:tc>
      </w:tr>
      <w:tr>
        <w:tc>
          <w:tcPr/>
          <w:p>
            <w:pPr>
              <w:pStyle w:val="Compact"/>
              <w:jc w:val="left"/>
            </w:pPr>
            <w:r>
              <w:t xml:space="preserve">Scope 3</w:t>
            </w:r>
          </w:p>
        </w:tc>
        <w:tc>
          <w:tcPr/>
          <w:p>
            <w:pPr>
              <w:pStyle w:val="Compact"/>
              <w:jc w:val="left"/>
            </w:pPr>
            <w:r>
              <w:t xml:space="preserve">End-of-Life (Net)</w:t>
            </w:r>
          </w:p>
        </w:tc>
        <w:tc>
          <w:tcPr/>
          <w:p>
            <w:pPr>
              <w:pStyle w:val="Compact"/>
              <w:jc w:val="left"/>
            </w:pPr>
            <w:r>
              <w:t xml:space="preserve">-0.39</w:t>
            </w:r>
          </w:p>
        </w:tc>
      </w:tr>
      <w:tr>
        <w:tc>
          <w:tcPr>
            <w:gridSpan w:val="2"/>
          </w:tcPr>
          <w:p>
            <w:pPr>
              <w:pStyle w:val="Compact"/>
              <w:jc w:val="left"/>
            </w:pPr>
            <w:r>
              <w:t xml:space="preserve">Total Product Carbon Footprint (PCF)</w:t>
            </w:r>
          </w:p>
        </w:tc>
        <w:tc>
          <w:tcPr/>
          <w:p>
            <w:pPr>
              <w:pStyle w:val="Compact"/>
              <w:jc w:val="left"/>
            </w:pPr>
            <w:r>
              <w:t xml:space="preserve">35.06 kg CO2e</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product-carbon-footprint-pcf-hotspots"/>
    <w:p>
      <w:pPr>
        <w:pStyle w:val="Heading3"/>
      </w:pPr>
      <w:r>
        <w:t xml:space="preserve">Product Carbon Footprint (PCF) Hotspots</w:t>
      </w:r>
    </w:p>
    <w:p>
      <w:pPr>
        <w:pStyle w:val="FirstParagraph"/>
      </w:pPr>
      <w:r>
        <w:t xml:space="preserve">The analysis identifies the following key hotspots in the lifecycle of xihdsxridr:</w:t>
      </w:r>
    </w:p>
    <w:p>
      <w:pPr>
        <w:numPr>
          <w:ilvl w:val="0"/>
          <w:numId w:val="1013"/>
        </w:numPr>
        <w:pStyle w:val="Compact"/>
      </w:pPr>
      <w:r>
        <w:rPr>
          <w:bCs/>
          <w:b/>
        </w:rPr>
        <w:t xml:space="preserve">Use Phase (Approx. 71% of total PCF):</w:t>
      </w:r>
      <w:r>
        <w:t xml:space="preserve"> </w:t>
      </w:r>
      <w:r>
        <w:t xml:space="preserve">Energy consumption during the product\'s lifespan is by far the largest contributor to its carbon footprint. This highlights the critical importance of energy efficiency for product design and user behavior.</w:t>
      </w:r>
    </w:p>
    <w:p>
      <w:pPr>
        <w:numPr>
          <w:ilvl w:val="0"/>
          <w:numId w:val="1013"/>
        </w:numPr>
        <w:pStyle w:val="Compact"/>
      </w:pPr>
      <w:r>
        <w:rPr>
          <w:bCs/>
          <w:b/>
        </w:rPr>
        <w:t xml:space="preserve">Material Acquisition &amp; Processing (Approx. 17% of total PCF):</w:t>
      </w:r>
      <w:r>
        <w:t xml:space="preserve"> </w:t>
      </w:r>
      <w:r>
        <w:t xml:space="preserve">The raw materials, particularly the Lithium Battery and Circuit Board, contribute significantly. Sourcing lower-impact materials or designing for material efficiency could yield substantial reductions.</w:t>
      </w:r>
    </w:p>
    <w:p>
      <w:pPr>
        <w:numPr>
          <w:ilvl w:val="0"/>
          <w:numId w:val="1013"/>
        </w:numPr>
        <w:pStyle w:val="Compact"/>
      </w:pPr>
      <w:r>
        <w:rPr>
          <w:bCs/>
          <w:b/>
        </w:rPr>
        <w:t xml:space="preserve">Production (Approx. 11% of total PCF):</w:t>
      </w:r>
      <w:r>
        <w:t xml:space="preserve"> </w:t>
      </w:r>
      <w:r>
        <w:t xml:space="preserve">While significant, the high renewable energy usage (75%) already mitigates a large portion of potential emissions. Further increasing renewable energy penetration or optimizing production processes could offer additional benefits.</w:t>
      </w:r>
    </w:p>
    <w:p>
      <w:pPr>
        <w:numPr>
          <w:ilvl w:val="0"/>
          <w:numId w:val="1013"/>
        </w:numPr>
        <w:pStyle w:val="Compact"/>
      </w:pPr>
      <w:r>
        <w:rPr>
          <w:bCs/>
          <w:b/>
        </w:rPr>
        <w:t xml:space="preserve">Transport (Approx. 2% of total PCF):</w:t>
      </w:r>
      <w:r>
        <w:t xml:space="preserve"> </w:t>
      </w:r>
      <w:r>
        <w:t xml:space="preserve">Both factory-to-market and last-mile delivery contribute, but represent a smaller portion of the overall footprint. Optimizing logistics routes and transport modes can still be beneficial.</w:t>
      </w:r>
    </w:p>
    <w:p>
      <w:pPr>
        <w:numPr>
          <w:ilvl w:val="0"/>
          <w:numId w:val="1013"/>
        </w:numPr>
        <w:pStyle w:val="Compact"/>
      </w:pPr>
      <w:r>
        <w:rPr>
          <w:bCs/>
          <w:b/>
        </w:rPr>
        <w:t xml:space="preserve">End-of-Life (Net Carbon Removal):</w:t>
      </w:r>
      <w:r>
        <w:t xml:space="preserve"> </w:t>
      </w:r>
      <w:r>
        <w:t xml:space="preserve">The high recyclability rate and presumed effectiveness of circular/take-back programs result in a net carbon removal, demonstrating the positive impact of circular economy initiatives.</w:t>
      </w:r>
    </w:p>
    <w:bookmarkEnd w:id="41"/>
    <w:bookmarkStart w:id="42" w:name="reliability-and-limitations"/>
    <w:p>
      <w:pPr>
        <w:pStyle w:val="Heading3"/>
      </w:pPr>
      <w:r>
        <w:t xml:space="preserve">Reliability and Limitations</w:t>
      </w:r>
    </w:p>
    <w:p>
      <w:pPr>
        <w:pStyle w:val="FirstParagraph"/>
      </w:pPr>
      <w:r>
        <w:t xml:space="preserve">The reliability of this PCF analysis is generally high, given the adherence to the GHG Protocol</w:t>
      </w:r>
      <w:r>
        <w:t xml:space="preserve"> </w:t>
      </w:r>
      <w:r>
        <w:t xml:space="preserve">and the use of specific BOM data. However, certain limitations should be noted:</w:t>
      </w:r>
    </w:p>
    <w:p>
      <w:pPr>
        <w:numPr>
          <w:ilvl w:val="0"/>
          <w:numId w:val="1014"/>
        </w:numPr>
        <w:pStyle w:val="Compact"/>
      </w:pPr>
      <w:r>
        <w:rPr>
          <w:bCs/>
          <w:b/>
        </w:rPr>
        <w:t xml:space="preserve">Assumed Numerical Values:</w:t>
      </w:r>
      <w:r>
        <w:t xml:space="preserve"> </w:t>
      </w:r>
      <w:r>
        <w:t xml:space="preserve">Several parameters (Transport Distance, Renewable Energy Usage, Energy Intensity, Product Lifespan, Energy Consumption in Use, Recyclability Percentage) were provided as generic strings in the prompt. Numerical assumptions were made to enable calculations, which may differ from actual values.</w:t>
      </w:r>
    </w:p>
    <w:p>
      <w:pPr>
        <w:numPr>
          <w:ilvl w:val="0"/>
          <w:numId w:val="1014"/>
        </w:numPr>
        <w:pStyle w:val="Compact"/>
      </w:pPr>
      <w:r>
        <w:rPr>
          <w:bCs/>
          <w:b/>
        </w:rPr>
        <w:t xml:space="preserve">Generic Emission Factors:</w:t>
      </w:r>
      <w:r>
        <w:t xml:space="preserve"> </w:t>
      </w:r>
      <w:r>
        <w:t xml:space="preserve">Some emission factors (e.g., for electricity grids in user countries, generic waste disposal, and recycling credits) are industry averages. Using country-specific or supplier-specific data would enhance accuracy.</w:t>
      </w:r>
    </w:p>
    <w:p>
      <w:pPr>
        <w:numPr>
          <w:ilvl w:val="0"/>
          <w:numId w:val="1014"/>
        </w:numPr>
        <w:pStyle w:val="Compact"/>
      </w:pPr>
      <w:r>
        <w:rPr>
          <w:bCs/>
          <w:b/>
        </w:rPr>
        <w:t xml:space="preserve">Scope 1 Detail:</w:t>
      </w:r>
      <w:r>
        <w:t xml:space="preserve"> </w:t>
      </w:r>
      <w:r>
        <w:t xml:space="preserve">Direct operational emissions (Scope 1) at the factory were assumed to be negligible due to lack of specific data, which might underestimate if significant on-site fuel combustion occurs.</w:t>
      </w:r>
    </w:p>
    <w:p>
      <w:pPr>
        <w:numPr>
          <w:ilvl w:val="0"/>
          <w:numId w:val="1014"/>
        </w:numPr>
        <w:pStyle w:val="Compact"/>
      </w:pPr>
      <w:r>
        <w:rPr>
          <w:bCs/>
          <w:b/>
        </w:rPr>
        <w:t xml:space="preserve">Supply Chain Granularity:</w:t>
      </w:r>
      <w:r>
        <w:t xml:space="preserve"> </w:t>
      </w:r>
      <w:r>
        <w:t xml:space="preserve">While the BOM provides material carbon, a deeper dive into the specific manufacturing processes and locations for each material could refine upstream Scope 3 emissions.</w:t>
      </w:r>
    </w:p>
    <w:bookmarkEnd w:id="42"/>
    <w:bookmarkStart w:id="44" w:name="recommendations-for-lkmskkrflg"/>
    <w:p>
      <w:pPr>
        <w:pStyle w:val="Heading3"/>
      </w:pPr>
      <w:r>
        <w:t xml:space="preserve">Recommendations for lkmskkrflg</w:t>
      </w:r>
    </w:p>
    <w:p>
      <w:pPr>
        <w:numPr>
          <w:ilvl w:val="0"/>
          <w:numId w:val="1015"/>
        </w:numPr>
        <w:pStyle w:val="Compact"/>
      </w:pPr>
      <w:r>
        <w:rPr>
          <w:bCs/>
          <w:b/>
        </w:rPr>
        <w:t xml:space="preserve">Prioritize Use-Phase Efficiency:</w:t>
      </w:r>
      <w:r>
        <w:t xml:space="preserve"> </w:t>
      </w:r>
      <w:r>
        <w:t xml:space="preserve">Focus R&amp;D on significantly reducing the energy consumption of xihdsxridr during its operational lifespan. This is the single largest opportunity for impact reduction.</w:t>
      </w:r>
    </w:p>
    <w:p>
      <w:pPr>
        <w:numPr>
          <w:ilvl w:val="0"/>
          <w:numId w:val="1015"/>
        </w:numPr>
        <w:pStyle w:val="Compact"/>
      </w:pPr>
      <w:r>
        <w:rPr>
          <w:bCs/>
          <w:b/>
        </w:rPr>
        <w:t xml:space="preserve">Sustainable Material Sourcing:</w:t>
      </w:r>
      <w:r>
        <w:t xml:space="preserve"> </w:t>
      </w:r>
      <w:r>
        <w:t xml:space="preserve">Investigate alternative materials or suppliers for components like the Lithium Battery and Circuit Board with lower embedded carbon.</w:t>
      </w:r>
    </w:p>
    <w:p>
      <w:pPr>
        <w:numPr>
          <w:ilvl w:val="0"/>
          <w:numId w:val="1015"/>
        </w:numPr>
        <w:pStyle w:val="Compact"/>
      </w:pPr>
      <w:r>
        <w:rPr>
          <w:bCs/>
          <w:b/>
        </w:rPr>
        <w:t xml:space="preserve">Enhance Production Efficiency:</w:t>
      </w:r>
      <w:r>
        <w:t xml:space="preserve"> </w:t>
      </w:r>
      <w:r>
        <w:t xml:space="preserve">Explore opportunities to further increase renewable energy penetration in the China production facility and optimize manufacturing processes to reduce energy intensity.</w:t>
      </w:r>
    </w:p>
    <w:p>
      <w:pPr>
        <w:numPr>
          <w:ilvl w:val="0"/>
          <w:numId w:val="1015"/>
        </w:numPr>
        <w:pStyle w:val="Compact"/>
      </w:pPr>
      <w:r>
        <w:rPr>
          <w:bCs/>
          <w:b/>
        </w:rPr>
        <w:t xml:space="preserve">Strengthen Circular Economy:</w:t>
      </w:r>
      <w:r>
        <w:t xml:space="preserve"> </w:t>
      </w:r>
      <w:r>
        <w:t xml:space="preserve">Continue and expand circular/take-back programs (wdkqpjdvew) to maximize actual recycling rates and explore opportunities for component reuse and remanufacturing, building on the already positive EoL scenario.</w:t>
      </w:r>
    </w:p>
    <w:p>
      <w:pPr>
        <w:numPr>
          <w:ilvl w:val="0"/>
          <w:numId w:val="1015"/>
        </w:numPr>
        <w:pStyle w:val="Compact"/>
      </w:pPr>
      <w:r>
        <w:rPr>
          <w:bCs/>
          <w:b/>
        </w:rPr>
        <w:t xml:space="preserve">Data Collection Improvement:</w:t>
      </w:r>
      <w:r>
        <w:t xml:space="preserve"> </w:t>
      </w:r>
      <w:r>
        <w:t xml:space="preserve">For future analyses, gather more specific primary data for transport modes, distances, and actual energy mix of end-users to improve PCF accuracy.</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xihdsxridr</dc:title>
  <dc:creator/>
  <dc:description>Comprehensive Product Carbon Footprint (PCF) analysis report for xihdsxridr by lkmskkrflg, adhering to GHG Protocol standards and 2026 LSR updates.</dc:description>
  <dc:language>en</dc:language>
  <cp:keywords/>
  <dcterms:created xsi:type="dcterms:W3CDTF">2026-07-14T23:44:29Z</dcterms:created>
  <dcterms:modified xsi:type="dcterms:W3CDTF">2026-07-14T23:44:29Z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