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xgdlsgggvg</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xgdlsgggvg</w:t>
      </w:r>
    </w:p>
    <w:p>
      <w:pPr>
        <w:pStyle w:val="BodyText"/>
      </w:pPr>
      <w:r>
        <w:rPr>
          <w:bCs/>
          <w:b/>
        </w:rPr>
        <w:t xml:space="preserve">Company:</w:t>
      </w:r>
      <w:r>
        <w:t xml:space="preserve"> </w:t>
      </w:r>
      <w:r>
        <w:t xml:space="preserve">pqokugxrdv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pljowerqut</w:t>
      </w:r>
    </w:p>
    <w:p>
      <w:pPr>
        <w:pStyle w:val="BodyText"/>
      </w:pPr>
      <w:r>
        <w:rPr>
          <w:bCs/>
          <w:b/>
        </w:rPr>
        <w:t xml:space="preserve">Generated Date:</w:t>
      </w:r>
      <w:r>
        <w:t xml:space="preserve"> </w:t>
      </w:r>
      <w:r>
        <w:t xml:space="preserve">May 26, 2026</w:t>
      </w:r>
    </w:p>
    <w:p>
      <w:pPr>
        <w:pStyle w:val="BodyText"/>
      </w:pPr>
      <w:r>
        <w:t xml:space="preserve">This report is generated based on available data and industry standards. Actual carbon footprint values may vary based on specific operational details and real-time data inputs.</w:t>
      </w:r>
    </w:p>
    <w:bookmarkEnd w:id="20"/>
    <w:bookmarkStart w:id="21" w:name="X4a0dacb64c0a48991101470c28878ce910a2ba7"/>
    <w:p>
      <w:pPr>
        <w:pStyle w:val="Heading1"/>
      </w:pPr>
      <w:r>
        <w:t xml:space="preserve">Product Carbon Footprint Analysis for xgdlsgggvg</w:t>
      </w:r>
    </w:p>
    <w:p>
      <w:pPr>
        <w:pStyle w:val="FirstParagraph"/>
      </w:pPr>
      <w:r>
        <w:t xml:space="preserve">Generated Date: May 26,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\'xgdlsgggvg\', manufactured by \'pqokugxrdv\'. Conducted by \'pljowerqut\', Senior Sustainability Consultant, this analysis adheres to the GHG Protocol\'s rigorous accounting standards, incorporating the 2026 Land Sector and Removals (LSR) Standard and ensuring over 95% Scope 3 coverage. The study covers the lifecycle from raw material acquisition to end-of-life, with a specific focus on the supply chain in Europe and final production in China. The objective is to identify emissions hotspots and provide actionable insights for reducing the product\'s environmental impact.</w:t>
      </w:r>
    </w:p>
    <w:p>
      <w:r>
        <w:pict>
          <v:rect style="width:0;height:1.5pt" o:hralign="center" o:hrstd="t" o:hr="t"/>
        </w:pict>
      </w:r>
    </w:p>
    <w:bookmarkEnd w:id="22"/>
    <w:bookmarkStart w:id="39" w:name="methodology"/>
    <w:p>
      <w:pPr>
        <w:pStyle w:val="Heading2"/>
      </w:pPr>
      <w:r>
        <w:t xml:space="preserve">Methodology</w:t>
      </w:r>
    </w:p>
    <w:p>
      <w:pPr>
        <w:pStyle w:val="FirstParagraph"/>
      </w:pPr>
      <w:r>
        <w:t xml:space="preserve">The Product Carbon Footprint (PCF) analysis was performed following the five-step methodology as prescribed by the GHG Protocol Product Standard.</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1.0 unit of xgdlsgggvg. This unit defines the basis for quantifying all inputs and outputs throughout the product\'s lifecycle.</w:t>
      </w:r>
    </w:p>
    <w:p>
      <w:pPr>
        <w:numPr>
          <w:ilvl w:val="0"/>
          <w:numId w:val="1001"/>
        </w:numPr>
        <w:pStyle w:val="Compact"/>
      </w:pPr>
      <w:r>
        <w:rPr>
          <w:bCs/>
          <w:b/>
        </w:rPr>
        <w:t xml:space="preserve">System Boundary:</w:t>
      </w:r>
      <w:r>
        <w:t xml:space="preserve"> </w:t>
      </w:r>
      <w:r>
        <w:t xml:space="preserve">factory_gate. This analysis extends from cradle-to-gate, encompassing raw material extraction, transport to manufacturing, and the manufacturing process up to the point the product leaves the factory gate. For comprehensive understanding, additional phases (transport to customer, use phase, end-of-life) are also analyzed, expanding beyond a strict "factory_gate" definition to provide a full lifecycle assessment in line with common PCF practices.</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manufacturing occurs in China, while a significant portion of raw materials and components are sourced from Europe.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\'xgdlsgggvg\'. Co-product allocation is not applicable for this single-product analysis.</w:t>
      </w:r>
    </w:p>
    <w:p>
      <w:pPr>
        <w:numPr>
          <w:ilvl w:val="0"/>
          <w:numId w:val="1001"/>
        </w:numPr>
        <w:pStyle w:val="Compact"/>
      </w:pPr>
      <w:r>
        <w:rPr>
          <w:bCs/>
          <w:b/>
        </w:rPr>
        <w:t xml:space="preserve">Accounting Standard:</w:t>
      </w:r>
      <w:r>
        <w:t xml:space="preserve"> </w:t>
      </w:r>
      <w:r>
        <w:t xml:space="preserve">GHG Protocol. This standard provides a robust and credible framework for measuring and managing greenhouse gas emissions.</w:t>
      </w:r>
    </w:p>
    <w:bookmarkEnd w:id="23"/>
    <w:bookmarkStart w:id="24" w:name="X5b65be45848e8ebf641a72983b24f262a4ce7a0"/>
    <w:p>
      <w:pPr>
        <w:pStyle w:val="Heading3"/>
      </w:pPr>
      <w:r>
        <w:t xml:space="preserve">2. Map Lifecycle (Life Cycle Inventory - LCI Stages)</w:t>
      </w:r>
    </w:p>
    <w:p>
      <w:pPr>
        <w:pStyle w:val="FirstParagraph"/>
      </w:pPr>
      <w:r>
        <w:t xml:space="preserve">The lifecycle of \'xgdlsgggvg\' is mapped across several stages, detailing the material and energy flows. This detailed mapping allows for the identification of all relevant emission sources.</w:t>
      </w:r>
    </w:p>
    <w:p>
      <w:pPr>
        <w:numPr>
          <w:ilvl w:val="0"/>
          <w:numId w:val="1002"/>
        </w:numPr>
        <w:pStyle w:val="Compact"/>
      </w:pPr>
      <w:r>
        <w:rPr>
          <w:bCs/>
          <w:b/>
        </w:rPr>
        <w:t xml:space="preserve">Raw Material Acquisition &amp; Pre-processing:</w:t>
      </w:r>
      <w:r>
        <w:t xml:space="preserve"> </w:t>
      </w:r>
      <w:r>
        <w:t xml:space="preserve">Extraction, cultivation, and initial processing of raw materials.</w:t>
      </w:r>
    </w:p>
    <w:p>
      <w:pPr>
        <w:numPr>
          <w:ilvl w:val="0"/>
          <w:numId w:val="1002"/>
        </w:numPr>
        <w:pStyle w:val="Compact"/>
      </w:pPr>
      <w:r>
        <w:rPr>
          <w:bCs/>
          <w:b/>
        </w:rPr>
        <w:t xml:space="preserve">Manufacturing:</w:t>
      </w:r>
      <w:r>
        <w:t xml:space="preserve"> </w:t>
      </w:r>
      <w:r>
        <w:t xml:space="preserve">Production processes at the factory, including energy consumption, direct emissions, and waste generation.</w:t>
      </w:r>
    </w:p>
    <w:p>
      <w:pPr>
        <w:numPr>
          <w:ilvl w:val="0"/>
          <w:numId w:val="1002"/>
        </w:numPr>
        <w:pStyle w:val="Compact"/>
      </w:pPr>
      <w:r>
        <w:rPr>
          <w:bCs/>
          <w:b/>
        </w:rPr>
        <w:t xml:space="preserve">Transportation (Inbound):</w:t>
      </w:r>
      <w:r>
        <w:t xml:space="preserve"> </w:t>
      </w:r>
      <w:r>
        <w:t xml:space="preserve">Logistics of raw materials and components from suppliers (Europe) to the manufacturing facility (China).</w:t>
      </w:r>
    </w:p>
    <w:p>
      <w:pPr>
        <w:numPr>
          <w:ilvl w:val="0"/>
          <w:numId w:val="1002"/>
        </w:numPr>
        <w:pStyle w:val="Compact"/>
      </w:pPr>
      <w:r>
        <w:rPr>
          <w:bCs/>
          <w:b/>
        </w:rPr>
        <w:t xml:space="preserve">Transportation (Outbound):</w:t>
      </w:r>
      <w:r>
        <w:t xml:space="preserve"> </w:t>
      </w:r>
      <w:r>
        <w:t xml:space="preserve">Logistics of finished products from the factory (China) to distribution centers and end-customers (Europe).</w:t>
      </w:r>
    </w:p>
    <w:p>
      <w:pPr>
        <w:numPr>
          <w:ilvl w:val="0"/>
          <w:numId w:val="1002"/>
        </w:numPr>
        <w:pStyle w:val="Compact"/>
      </w:pPr>
      <w:r>
        <w:rPr>
          <w:bCs/>
          <w:b/>
        </w:rPr>
        <w:t xml:space="preserve">Use Phase:</w:t>
      </w:r>
      <w:r>
        <w:t xml:space="preserve"> </w:t>
      </w:r>
      <w:r>
        <w:t xml:space="preserve">Energy consumption and potential emissions during the product\'s active use by the consumer.</w:t>
      </w:r>
    </w:p>
    <w:p>
      <w:pPr>
        <w:numPr>
          <w:ilvl w:val="0"/>
          <w:numId w:val="1002"/>
        </w:numPr>
        <w:pStyle w:val="Compact"/>
      </w:pPr>
      <w:r>
        <w:rPr>
          <w:bCs/>
          <w:b/>
        </w:rPr>
        <w:t xml:space="preserve">End-of-Life:</w:t>
      </w:r>
      <w:r>
        <w:t xml:space="preserve"> </w:t>
      </w:r>
      <w:r>
        <w:t xml:space="preserve">Disposal, recycling, and recovery processes for the product at the end of its useful life.</w:t>
      </w:r>
    </w:p>
    <w:bookmarkEnd w:id="24"/>
    <w:bookmarkStart w:id="30" w:name="Xb57f50a89bf1f3f1837369be949d9d60d6c1272"/>
    <w:p>
      <w:pPr>
        <w:pStyle w:val="Heading3"/>
      </w:pPr>
      <w:r>
        <w:t xml:space="preserve">3. Collect Data (Primary/Secondary Data Points)</w:t>
      </w:r>
    </w:p>
    <w:p>
      <w:pPr>
        <w:pStyle w:val="FirstParagraph"/>
      </w:pPr>
      <w:r>
        <w:t xml:space="preserve">Data collection involved both primary data provided by \'pqokugxrdv\' (where available) and secondary data from industry-standard databases (e.g., Ecoinvent, DEFRA) for generic processes and emission factors. For the purpose of this report, placeholder values provided in the request are used as illustrative examples to demonstrate the methodology.</w:t>
      </w:r>
    </w:p>
    <w:bookmarkStart w:id="25" w:name="X07ab3b2b564ae29f9590e4f953fbf4167fe47c6"/>
    <w:p>
      <w:pPr>
        <w:pStyle w:val="Heading4"/>
      </w:pPr>
      <w:r>
        <w:t xml:space="preserve">Detailed Bill of Materials (BOM) for xgdlsgggvg</w:t>
      </w:r>
    </w:p>
    <w:p>
      <w:pPr>
        <w:pStyle w:val="FirstParagraph"/>
      </w:pPr>
      <w:r>
        <w:t xml:space="preserve">The following table presents the detailed Bill of Materials (BOM) for \'xgdlsgggvg\'. The "Total Carbon" column reflects the calculated emissions for each material, using provided quantities and illustrative emission factors. Actual values would be derived from precise supplier data and verified emission factor databases.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Total Carbon (kg CO2e)</w:t>
            </w:r>
          </w:p>
        </w:tc>
      </w:tr>
      <w:tr>
        <w:tc>
          <w:tcPr/>
          <w:p>
            <w:pPr>
              <w:pStyle w:val="Compact"/>
              <w:jc w:val="left"/>
            </w:pPr>
            <w:r>
              <w:t xml:space="preserve">M01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P01</w:t>
            </w:r>
          </w:p>
        </w:tc>
        <w:tc>
          <w:tcPr/>
          <w:p>
            <w:pPr>
              <w:pStyle w:val="Compact"/>
              <w:jc w:val="left"/>
            </w:pPr>
            <w:r>
              <w:t xml:space="preserve">ABS Plastic Shell</w:t>
            </w:r>
          </w:p>
        </w:tc>
        <w:tc>
          <w:tcPr/>
          <w:p>
            <w:pPr>
              <w:pStyle w:val="Compact"/>
              <w:jc w:val="left"/>
            </w:pPr>
            <w:r>
              <w:t xml:space="preserve">Plastic</w:t>
            </w:r>
          </w:p>
        </w:tc>
        <w:tc>
          <w:tcPr/>
          <w:p>
            <w:pPr>
              <w:pStyle w:val="Compact"/>
              <w:jc w:val="left"/>
            </w:pPr>
            <w:r>
              <w:t xml:space="preserve">Injection Mold</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E01</w:t>
            </w:r>
          </w:p>
        </w:tc>
        <w:tc>
          <w:tcPr/>
          <w:p>
            <w:pPr>
              <w:pStyle w:val="Compact"/>
              <w:jc w:val="left"/>
            </w:pPr>
            <w:r>
              <w:t xml:space="preserve">Circuit Board</w:t>
            </w:r>
          </w:p>
        </w:tc>
        <w:tc>
          <w:tcPr/>
          <w:p>
            <w:pPr>
              <w:pStyle w:val="Compact"/>
              <w:jc w:val="left"/>
            </w:pPr>
            <w:r>
              <w:t xml:space="preserve">Electronic</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B01</w:t>
            </w:r>
          </w:p>
        </w:tc>
        <w:tc>
          <w:tcPr/>
          <w:p>
            <w:pPr>
              <w:pStyle w:val="Compact"/>
              <w:jc w:val="left"/>
            </w:pPr>
            <w:r>
              <w:t xml:space="preserve">Lithium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P02</w:t>
            </w:r>
          </w:p>
        </w:tc>
        <w:tc>
          <w:tcPr/>
          <w:p>
            <w:pPr>
              <w:pStyle w:val="Compact"/>
              <w:jc w:val="left"/>
            </w:pPr>
            <w:r>
              <w:t xml:space="preserve">Packaging Film</w:t>
            </w:r>
          </w:p>
        </w:tc>
        <w:tc>
          <w:tcPr/>
          <w:p>
            <w:pPr>
              <w:pStyle w:val="Compact"/>
              <w:jc w:val="left"/>
            </w:pPr>
            <w:r>
              <w:t xml:space="preserve">Plastic</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w:t>
            </w:r>
          </w:p>
        </w:tc>
        <w:tc>
          <w:tcPr/>
          <w:p>
            <w:pPr>
              <w:pStyle w:val="Compact"/>
              <w:jc w:val="left"/>
            </w:pPr>
            <w:r>
              <w:t xml:space="preserve">0.1</w:t>
            </w:r>
          </w:p>
        </w:tc>
      </w:tr>
    </w:tbl>
    <w:p>
      <w:pPr>
        <w:pStyle w:val="BodyText"/>
      </w:pPr>
      <w:r>
        <w:rPr>
          <w:iCs/>
          <w:i/>
        </w:rPr>
        <w:t xml:space="preserve">Note: The "Illustrative Emission Factor" and "Total Carbon" values in this table are examples based on industry averages for demonstration purposes, as specific data for `ydpmdhuh` was a placeholder. Actual calculations would use precise, verified emission factors.</w:t>
      </w:r>
    </w:p>
    <w:bookmarkEnd w:id="25"/>
    <w:bookmarkStart w:id="26" w:name="energy-inputs-for-production"/>
    <w:p>
      <w:pPr>
        <w:pStyle w:val="Heading4"/>
      </w:pPr>
      <w:r>
        <w:t xml:space="preserve">Energy Inputs for Production</w:t>
      </w:r>
    </w:p>
    <w:p>
      <w:pPr>
        <w:numPr>
          <w:ilvl w:val="0"/>
          <w:numId w:val="1003"/>
        </w:numPr>
        <w:pStyle w:val="Compact"/>
      </w:pPr>
      <w:r>
        <w:rPr>
          <w:bCs/>
          <w:b/>
        </w:rPr>
        <w:t xml:space="preserve">Renewable Energy Usage:</w:t>
      </w:r>
      <w:r>
        <w:t xml:space="preserve"> </w:t>
      </w:r>
      <w:r>
        <w:t xml:space="preserve">szxepqokih (Illustrative: 50%)</w:t>
      </w:r>
    </w:p>
    <w:p>
      <w:pPr>
        <w:numPr>
          <w:ilvl w:val="0"/>
          <w:numId w:val="1003"/>
        </w:numPr>
        <w:pStyle w:val="Compact"/>
      </w:pPr>
      <w:r>
        <w:rPr>
          <w:bCs/>
          <w:b/>
        </w:rPr>
        <w:t xml:space="preserve">Energy Intensity (kWh/unit):</w:t>
      </w:r>
      <w:r>
        <w:t xml:space="preserve"> </w:t>
      </w:r>
      <w:r>
        <w:t xml:space="preserve">lymtjhezkq (Illustrative: 15 kWh/unit)</w:t>
      </w:r>
    </w:p>
    <w:bookmarkEnd w:id="26"/>
    <w:bookmarkStart w:id="27" w:name="logistics-data"/>
    <w:p>
      <w:pPr>
        <w:pStyle w:val="Heading4"/>
      </w:pPr>
      <w:r>
        <w:t xml:space="preserve">Logistics Data</w:t>
      </w:r>
    </w:p>
    <w:p>
      <w:pPr>
        <w:numPr>
          <w:ilvl w:val="0"/>
          <w:numId w:val="1004"/>
        </w:numPr>
        <w:pStyle w:val="Compact"/>
      </w:pPr>
      <w:r>
        <w:rPr>
          <w:bCs/>
          <w:b/>
        </w:rPr>
        <w:t xml:space="preserve">Transport Mode:</w:t>
      </w:r>
      <w:r>
        <w:t xml:space="preserve"> </w:t>
      </w:r>
      <w:r>
        <w:t xml:space="preserve">Select Mode (Illustrative: Ocean Freight for primary transport, Road Freight for European distribution)</w:t>
      </w:r>
    </w:p>
    <w:p>
      <w:pPr>
        <w:numPr>
          <w:ilvl w:val="0"/>
          <w:numId w:val="1004"/>
        </w:numPr>
        <w:pStyle w:val="Compact"/>
      </w:pPr>
      <w:r>
        <w:rPr>
          <w:bCs/>
          <w:b/>
        </w:rPr>
        <w:t xml:space="preserve">Transport Distance:</w:t>
      </w:r>
      <w:r>
        <w:t xml:space="preserve"> </w:t>
      </w:r>
      <w:r>
        <w:t xml:space="preserve">udeoloomhu (Illustrative: Ocean Freight 15,000 km, Road Freight 500 km)</w:t>
      </w:r>
    </w:p>
    <w:p>
      <w:pPr>
        <w:numPr>
          <w:ilvl w:val="0"/>
          <w:numId w:val="1004"/>
        </w:numPr>
        <w:pStyle w:val="Compact"/>
      </w:pPr>
      <w:r>
        <w:rPr>
          <w:bCs/>
          <w:b/>
        </w:rPr>
        <w:t xml:space="preserve">Last-Mile Delivery Channel:</w:t>
      </w:r>
      <w:r>
        <w:t xml:space="preserve"> </w:t>
      </w:r>
      <w:r>
        <w:t xml:space="preserve">Delivery Type (Illustrative: Express Courier)</w:t>
      </w:r>
    </w:p>
    <w:bookmarkEnd w:id="27"/>
    <w:bookmarkStart w:id="28" w:name="use-phase-data"/>
    <w:p>
      <w:pPr>
        <w:pStyle w:val="Heading4"/>
      </w:pPr>
      <w:r>
        <w:t xml:space="preserve">Use Phase Data</w:t>
      </w:r>
    </w:p>
    <w:p>
      <w:pPr>
        <w:numPr>
          <w:ilvl w:val="0"/>
          <w:numId w:val="1005"/>
        </w:numPr>
        <w:pStyle w:val="Compact"/>
      </w:pPr>
      <w:r>
        <w:rPr>
          <w:bCs/>
          <w:b/>
        </w:rPr>
        <w:t xml:space="preserve">Product Lifespan:</w:t>
      </w:r>
      <w:r>
        <w:t xml:space="preserve"> </w:t>
      </w:r>
      <w:r>
        <w:t xml:space="preserve">kldlmflndz (Illustrative: 5 years)</w:t>
      </w:r>
    </w:p>
    <w:p>
      <w:pPr>
        <w:numPr>
          <w:ilvl w:val="0"/>
          <w:numId w:val="1005"/>
        </w:numPr>
        <w:pStyle w:val="Compact"/>
      </w:pPr>
      <w:r>
        <w:rPr>
          <w:bCs/>
          <w:b/>
        </w:rPr>
        <w:t xml:space="preserve">Energy Consumption in Use:</w:t>
      </w:r>
      <w:r>
        <w:t xml:space="preserve"> </w:t>
      </w:r>
      <w:r>
        <w:t xml:space="preserve">fyhzjmqsmw (Illustrative: 10 kWh/year)</w:t>
      </w:r>
    </w:p>
    <w:bookmarkEnd w:id="28"/>
    <w:bookmarkStart w:id="29" w:name="end-of-life-data"/>
    <w:p>
      <w:pPr>
        <w:pStyle w:val="Heading4"/>
      </w:pPr>
      <w:r>
        <w:t xml:space="preserve">End-of-Life Data</w:t>
      </w:r>
    </w:p>
    <w:p>
      <w:pPr>
        <w:numPr>
          <w:ilvl w:val="0"/>
          <w:numId w:val="1006"/>
        </w:numPr>
        <w:pStyle w:val="Compact"/>
      </w:pPr>
      <w:r>
        <w:rPr>
          <w:bCs/>
          <w:b/>
        </w:rPr>
        <w:t xml:space="preserve">Recyclability Percentage:</w:t>
      </w:r>
      <w:r>
        <w:t xml:space="preserve"> </w:t>
      </w:r>
      <w:r>
        <w:t xml:space="preserve">ndislleqqh (Illustrative: 80%)</w:t>
      </w:r>
    </w:p>
    <w:p>
      <w:pPr>
        <w:numPr>
          <w:ilvl w:val="0"/>
          <w:numId w:val="1006"/>
        </w:numPr>
        <w:pStyle w:val="Compact"/>
      </w:pPr>
      <w:r>
        <w:rPr>
          <w:bCs/>
          <w:b/>
        </w:rPr>
        <w:t xml:space="preserve">Circular/Take-back Programs:</w:t>
      </w:r>
      <w:r>
        <w:t xml:space="preserve"> </w:t>
      </w:r>
      <w:r>
        <w:t xml:space="preserve">esgkqiypyl (Illustrative: Yes, with a take-back program for key components)</w:t>
      </w:r>
    </w:p>
    <w:bookmarkEnd w:id="29"/>
    <w:bookmarkEnd w:id="30"/>
    <w:bookmarkStart w:id="37" w:name="Xb404f6bea4a0013006ec7a9103609d9ea6643c1"/>
    <w:p>
      <w:pPr>
        <w:pStyle w:val="Heading3"/>
      </w:pPr>
      <w:r>
        <w:t xml:space="preserve">4. Calculate Emissions (Activity * Emission Factor = CO2e)</w:t>
      </w:r>
    </w:p>
    <w:p>
      <w:pPr>
        <w:pStyle w:val="FirstParagraph"/>
      </w:pPr>
      <w:r>
        <w:t xml:space="preserve">Emissions are calculated by multiplying activity data (e.g., kg of material, kWh of energy, tkm of transport) by their respective emission factors. All calculations adhere to the GHG Protocol\'s categorization of emissions into Scope 1, Scope 2, and Scope 3.</w:t>
      </w:r>
    </w:p>
    <w:bookmarkStart w:id="31" w:name="scope-1-emissions-direct-emissions"/>
    <w:p>
      <w:pPr>
        <w:pStyle w:val="Heading4"/>
      </w:pPr>
      <w:r>
        <w:t xml:space="preserve">Scope 1 Emissions (Direct Emissions)</w:t>
      </w:r>
    </w:p>
    <w:p>
      <w:pPr>
        <w:pStyle w:val="FirstParagraph"/>
      </w:pPr>
      <w:r>
        <w:t xml:space="preserve">These are direct GHG emissions from sources owned or controlled by \'pqokugxrdv\' within the factory_gate boundary. For this analysis, assuming typical manufacturing, primary Scope 1 sources would be on-site fuel combustion (e.g., for heating or power generation not from grid) and process emissions. For illustrative purposes, we assume minimal direct emissions from manufacturing, but this would require specific facility data.</w:t>
      </w:r>
    </w:p>
    <w:p>
      <w:pPr>
        <w:numPr>
          <w:ilvl w:val="0"/>
          <w:numId w:val="1007"/>
        </w:numPr>
        <w:pStyle w:val="Compact"/>
      </w:pPr>
      <w:r>
        <w:t xml:space="preserve">Illustrative Process Emissions: 0.1 kg CO2e/unit</w:t>
      </w:r>
    </w:p>
    <w:p>
      <w:pPr>
        <w:pStyle w:val="FirstParagraph"/>
      </w:pPr>
      <w:r>
        <w:rPr>
          <w:bCs/>
          <w:b/>
        </w:rPr>
        <w:t xml:space="preserve">Total Illustrative Scope 1 Emissions: 0.1 kg CO2e/unit</w:t>
      </w:r>
    </w:p>
    <w:bookmarkEnd w:id="31"/>
    <w:bookmarkStart w:id="32" w:name="X2d8d685b47aa894fb1e052b68fb751e5e9e47f0"/>
    <w:p>
      <w:pPr>
        <w:pStyle w:val="Heading4"/>
      </w:pPr>
      <w:r>
        <w:t xml:space="preserve">Scope 2 Emissions (Energy Indirect Emissions)</w:t>
      </w:r>
    </w:p>
    <w:p>
      <w:pPr>
        <w:pStyle w:val="FirstParagraph"/>
      </w:pPr>
      <w:r>
        <w:t xml:space="preserve">These are indirect GHG emissions from the generation of purchased electricity, steam, heating, or cooling consumed by \'pqokugxrdv\'.</w:t>
      </w:r>
    </w:p>
    <w:p>
      <w:pPr>
        <w:numPr>
          <w:ilvl w:val="0"/>
          <w:numId w:val="1008"/>
        </w:numPr>
        <w:pStyle w:val="Compact"/>
      </w:pPr>
      <w:r>
        <w:rPr>
          <w:bCs/>
          <w:b/>
        </w:rPr>
        <w:t xml:space="preserve">Energy Intensity:</w:t>
      </w:r>
      <w:r>
        <w:t xml:space="preserve"> </w:t>
      </w:r>
      <w:r>
        <w:t xml:space="preserve">15 kWh/unit (lymtjhezkq)</w:t>
      </w:r>
    </w:p>
    <w:p>
      <w:pPr>
        <w:numPr>
          <w:ilvl w:val="0"/>
          <w:numId w:val="1008"/>
        </w:numPr>
        <w:pStyle w:val="Compact"/>
      </w:pPr>
      <w:r>
        <w:rPr>
          <w:bCs/>
          <w:b/>
        </w:rPr>
        <w:t xml:space="preserve">Renewable Energy Usage:</w:t>
      </w:r>
      <w:r>
        <w:t xml:space="preserve"> </w:t>
      </w:r>
      <w:r>
        <w:t xml:space="preserve">50% (szxepqokih)</w:t>
      </w:r>
    </w:p>
    <w:p>
      <w:pPr>
        <w:numPr>
          <w:ilvl w:val="0"/>
          <w:numId w:val="1008"/>
        </w:numPr>
        <w:pStyle w:val="Compact"/>
      </w:pPr>
      <w:r>
        <w:rPr>
          <w:bCs/>
          <w:b/>
        </w:rPr>
        <w:t xml:space="preserve">Non-Renewable Energy:</w:t>
      </w:r>
      <w:r>
        <w:t xml:space="preserve"> </w:t>
      </w:r>
      <w:r>
        <w:t xml:space="preserve">15 kWh/unit * (1 - 0.50) = 7.5 kWh/unit</w:t>
      </w:r>
    </w:p>
    <w:p>
      <w:pPr>
        <w:numPr>
          <w:ilvl w:val="0"/>
          <w:numId w:val="1008"/>
        </w:numPr>
        <w:pStyle w:val="Compact"/>
      </w:pPr>
      <w:r>
        <w:rPr>
          <w:bCs/>
          <w:b/>
        </w:rPr>
        <w:t xml:space="preserve">Illustrative Grid Emission Factor (China):</w:t>
      </w:r>
      <w:r>
        <w:t xml:space="preserve"> </w:t>
      </w:r>
      <w:r>
        <w:t xml:space="preserve">0.6 kg CO2e/kWh (Source: Industry average for China)</w:t>
      </w:r>
    </w:p>
    <w:p>
      <w:pPr>
        <w:numPr>
          <w:ilvl w:val="0"/>
          <w:numId w:val="1008"/>
        </w:numPr>
        <w:pStyle w:val="Compact"/>
      </w:pPr>
      <w:r>
        <w:rPr>
          <w:bCs/>
          <w:b/>
        </w:rPr>
        <w:t xml:space="preserve">Calculation:</w:t>
      </w:r>
      <w:r>
        <w:t xml:space="preserve"> </w:t>
      </w:r>
      <w:r>
        <w:t xml:space="preserve">7.5 kWh/unit * 0.6 kg CO2e/kWh = 4.5 kg CO2e/unit</w:t>
      </w:r>
    </w:p>
    <w:p>
      <w:pPr>
        <w:pStyle w:val="FirstParagraph"/>
      </w:pPr>
      <w:r>
        <w:rPr>
          <w:bCs/>
          <w:b/>
        </w:rPr>
        <w:t xml:space="preserve">Total Illustrative Scope 2 Emissions: 4.5 kg CO2e/unit</w:t>
      </w:r>
    </w:p>
    <w:bookmarkEnd w:id="32"/>
    <w:bookmarkStart w:id="35" w:name="Xa4ae47cf428664338de6136b1752768d982738f"/>
    <w:p>
      <w:pPr>
        <w:pStyle w:val="Heading4"/>
      </w:pPr>
      <w:r>
        <w:t xml:space="preserve">Scope 3 Emissions (Other Indirect Emissions - Value Chain)</w:t>
      </w:r>
    </w:p>
    <w:p>
      <w:pPr>
        <w:pStyle w:val="FirstParagraph"/>
      </w:pPr>
      <w:r>
        <w:t xml:space="preserve">These encompass all other indirect emissions that occur in the value chain, both upstream and downstream. The GHG Protocol mandates at least 95% coverage for Scope 3 reporting in 2026, which is targeted in this analysis.</w:t>
      </w:r>
    </w:p>
    <w:bookmarkStart w:id="33" w:name="upstream-emissions"/>
    <w:p>
      <w:pPr>
        <w:pStyle w:val="Heading5"/>
      </w:pPr>
      <w:r>
        <w:t xml:space="preserve">Upstream Emissions</w:t>
      </w:r>
    </w:p>
    <w:p>
      <w:pPr>
        <w:numPr>
          <w:ilvl w:val="0"/>
          <w:numId w:val="1009"/>
        </w:numPr>
        <w:pStyle w:val="Compact"/>
      </w:pPr>
      <w:r>
        <w:rPr>
          <w:bCs/>
          <w:b/>
        </w:rPr>
        <w:t xml:space="preserve">Materials (Category 1: Purchased Goods and Services):</w:t>
      </w:r>
    </w:p>
    <w:p>
      <w:pPr>
        <w:numPr>
          <w:ilvl w:val="1"/>
          <w:numId w:val="1010"/>
        </w:numPr>
        <w:pStyle w:val="Compact"/>
      </w:pPr>
      <w:r>
        <w:t xml:space="preserve">Total from BOM (Illustrative): 3.5 + 0.6 + 2.5 + 1.5 + 0.1 = 8.2 kg CO2e/unit</w:t>
      </w:r>
    </w:p>
    <w:p>
      <w:pPr>
        <w:numPr>
          <w:ilvl w:val="0"/>
          <w:numId w:val="1009"/>
        </w:numPr>
        <w:pStyle w:val="Compact"/>
      </w:pPr>
      <w:r>
        <w:rPr>
          <w:bCs/>
          <w:b/>
        </w:rPr>
        <w:t xml:space="preserve">Transportation and Distribution (Category 4: Upstream Transportation and Distribution):</w:t>
      </w:r>
    </w:p>
    <w:p>
      <w:pPr>
        <w:numPr>
          <w:ilvl w:val="1"/>
          <w:numId w:val="1011"/>
        </w:numPr>
        <w:pStyle w:val="Compact"/>
      </w:pPr>
      <w:r>
        <w:t xml:space="preserve">Assumed average inbound distance for materials/components from Europe to China: 15,000 km (Ocean Freight) for ~1 kg product components.</w:t>
      </w:r>
    </w:p>
    <w:p>
      <w:pPr>
        <w:numPr>
          <w:ilvl w:val="1"/>
          <w:numId w:val="1011"/>
        </w:numPr>
        <w:pStyle w:val="Compact"/>
      </w:pPr>
      <w:r>
        <w:t xml:space="preserve">Illustrative Ocean Freight Emission Factor: 0.01 kg CO2e/tonne-km</w:t>
      </w:r>
    </w:p>
    <w:p>
      <w:pPr>
        <w:numPr>
          <w:ilvl w:val="1"/>
          <w:numId w:val="1011"/>
        </w:numPr>
        <w:pStyle w:val="Compact"/>
      </w:pPr>
      <w:r>
        <w:t xml:space="preserve">Calculation: (1 kg / 1000 kg/tonne) * 15,000 km * 0.01 kg CO2e/tonne-km = 0.15 kg CO2e/unit</w:t>
      </w:r>
    </w:p>
    <w:p>
      <w:pPr>
        <w:pStyle w:val="FirstParagraph"/>
      </w:pPr>
      <w:r>
        <w:rPr>
          <w:bCs/>
          <w:b/>
        </w:rPr>
        <w:t xml:space="preserve">Total Illustrative Upstream Scope 3 Emissions: 8.2 + 0.15 = 8.35 kg CO2e/unit</w:t>
      </w:r>
    </w:p>
    <w:bookmarkEnd w:id="33"/>
    <w:bookmarkStart w:id="34" w:name="downstream-emissions"/>
    <w:p>
      <w:pPr>
        <w:pStyle w:val="Heading5"/>
      </w:pPr>
      <w:r>
        <w:t xml:space="preserve">Downstream Emissions</w:t>
      </w:r>
    </w:p>
    <w:p>
      <w:pPr>
        <w:numPr>
          <w:ilvl w:val="0"/>
          <w:numId w:val="1012"/>
        </w:numPr>
        <w:pStyle w:val="Compact"/>
      </w:pPr>
      <w:r>
        <w:rPr>
          <w:bCs/>
          <w:b/>
        </w:rPr>
        <w:t xml:space="preserve">Transportation and Distribution (Category 9: Downstream Transportation and Distribution):</w:t>
      </w:r>
    </w:p>
    <w:p>
      <w:pPr>
        <w:numPr>
          <w:ilvl w:val="1"/>
          <w:numId w:val="1013"/>
        </w:numPr>
        <w:pStyle w:val="Compact"/>
      </w:pPr>
      <w:r>
        <w:t xml:space="preserve">Assumed outbound distance for finished product from China to Europe: 15,000 km (Ocean Freight) + 500 km (Road Freight).</w:t>
      </w:r>
    </w:p>
    <w:p>
      <w:pPr>
        <w:numPr>
          <w:ilvl w:val="1"/>
          <w:numId w:val="1013"/>
        </w:numPr>
        <w:pStyle w:val="Compact"/>
      </w:pPr>
      <w:r>
        <w:t xml:space="preserve">Illustrative Ocean Freight Emission Factor: 0.01 kg CO2e/tonne-km</w:t>
      </w:r>
    </w:p>
    <w:p>
      <w:pPr>
        <w:numPr>
          <w:ilvl w:val="1"/>
          <w:numId w:val="1013"/>
        </w:numPr>
        <w:pStyle w:val="Compact"/>
      </w:pPr>
      <w:r>
        <w:t xml:space="preserve">Illustrative Road Freight Emission Factor: 0.1 kg CO2e/tonne-km</w:t>
      </w:r>
    </w:p>
    <w:p>
      <w:pPr>
        <w:numPr>
          <w:ilvl w:val="1"/>
          <w:numId w:val="1013"/>
        </w:numPr>
        <w:pStyle w:val="Compact"/>
      </w:pPr>
      <w:r>
        <w:t xml:space="preserve">Illustrative Courier (Last-Mile): 0.3 kg CO2e/package</w:t>
      </w:r>
    </w:p>
    <w:p>
      <w:pPr>
        <w:numPr>
          <w:ilvl w:val="1"/>
          <w:numId w:val="1013"/>
        </w:numPr>
        <w:pStyle w:val="Compact"/>
      </w:pPr>
      <w:r>
        <w:t xml:space="preserve">Calculation (assuming product weight ~1 kg):</w:t>
      </w:r>
    </w:p>
    <w:p>
      <w:pPr>
        <w:numPr>
          <w:ilvl w:val="2"/>
          <w:numId w:val="1014"/>
        </w:numPr>
        <w:pStyle w:val="Compact"/>
      </w:pPr>
      <w:r>
        <w:t xml:space="preserve">Ocean: (1 kg / 1000 kg/tonne) * 15,000 km * 0.01 kg CO2e/tonne-km = 0.15 kg CO2e/unit</w:t>
      </w:r>
    </w:p>
    <w:p>
      <w:pPr>
        <w:numPr>
          <w:ilvl w:val="2"/>
          <w:numId w:val="1014"/>
        </w:numPr>
        <w:pStyle w:val="Compact"/>
      </w:pPr>
      <w:r>
        <w:t xml:space="preserve">Road: (1 kg / 1000 kg/tonne) * 500 km * 0.1 kg CO2e/tonne-km = 0.05 kg CO2e/unit</w:t>
      </w:r>
    </w:p>
    <w:p>
      <w:pPr>
        <w:numPr>
          <w:ilvl w:val="2"/>
          <w:numId w:val="1014"/>
        </w:numPr>
        <w:pStyle w:val="Compact"/>
      </w:pPr>
      <w:r>
        <w:t xml:space="preserve">Courier: 0.3 kg CO2e/unit</w:t>
      </w:r>
    </w:p>
    <w:p>
      <w:pPr>
        <w:numPr>
          <w:ilvl w:val="1"/>
          <w:numId w:val="1013"/>
        </w:numPr>
        <w:pStyle w:val="Compact"/>
      </w:pPr>
      <w:r>
        <w:t xml:space="preserve">Total Transport: 0.15 + 0.05 + 0.3 = 0.5 kg CO2e/unit</w:t>
      </w:r>
    </w:p>
    <w:p>
      <w:pPr>
        <w:numPr>
          <w:ilvl w:val="0"/>
          <w:numId w:val="1012"/>
        </w:numPr>
        <w:pStyle w:val="Compact"/>
      </w:pPr>
      <w:r>
        <w:rPr>
          <w:bCs/>
          <w:b/>
        </w:rPr>
        <w:t xml:space="preserve">Use Phase (Category 11: Use of Sold Products):</w:t>
      </w:r>
    </w:p>
    <w:p>
      <w:pPr>
        <w:numPr>
          <w:ilvl w:val="1"/>
          <w:numId w:val="1015"/>
        </w:numPr>
        <w:pStyle w:val="Compact"/>
      </w:pPr>
      <w:r>
        <w:rPr>
          <w:bCs/>
          <w:b/>
        </w:rPr>
        <w:t xml:space="preserve">Product Lifespan:</w:t>
      </w:r>
      <w:r>
        <w:t xml:space="preserve"> </w:t>
      </w:r>
      <w:r>
        <w:t xml:space="preserve">5 years (kldlmflndz)</w:t>
      </w:r>
    </w:p>
    <w:p>
      <w:pPr>
        <w:numPr>
          <w:ilvl w:val="1"/>
          <w:numId w:val="1015"/>
        </w:numPr>
        <w:pStyle w:val="Compact"/>
      </w:pPr>
      <w:r>
        <w:rPr>
          <w:bCs/>
          <w:b/>
        </w:rPr>
        <w:t xml:space="preserve">Energy Consumption in Use:</w:t>
      </w:r>
      <w:r>
        <w:t xml:space="preserve"> </w:t>
      </w:r>
      <w:r>
        <w:t xml:space="preserve">10 kWh/year (fyhzjmqsmw)</w:t>
      </w:r>
    </w:p>
    <w:p>
      <w:pPr>
        <w:numPr>
          <w:ilvl w:val="1"/>
          <w:numId w:val="1015"/>
        </w:numPr>
        <w:pStyle w:val="Compact"/>
      </w:pPr>
      <w:r>
        <w:rPr>
          <w:bCs/>
          <w:b/>
        </w:rPr>
        <w:t xml:space="preserve">Illustrative User\'s Grid Emission Factor (Europe average):</w:t>
      </w:r>
      <w:r>
        <w:t xml:space="preserve"> </w:t>
      </w:r>
      <w:r>
        <w:t xml:space="preserve">0.3 kg CO2e/kWh</w:t>
      </w:r>
    </w:p>
    <w:p>
      <w:pPr>
        <w:numPr>
          <w:ilvl w:val="1"/>
          <w:numId w:val="1015"/>
        </w:numPr>
        <w:pStyle w:val="Compact"/>
      </w:pPr>
      <w:r>
        <w:t xml:space="preserve">Calculation: 10 kWh/year * 5 years * 0.3 kg CO2e/kWh = 15.0 kg CO2e/unit</w:t>
      </w:r>
    </w:p>
    <w:p>
      <w:pPr>
        <w:numPr>
          <w:ilvl w:val="0"/>
          <w:numId w:val="1012"/>
        </w:numPr>
        <w:pStyle w:val="Compact"/>
      </w:pPr>
      <w:r>
        <w:rPr>
          <w:bCs/>
          <w:b/>
        </w:rPr>
        <w:t xml:space="preserve">End-of-Life Treatment (Category 12: End-of-Life Treatment of Sold Products):</w:t>
      </w:r>
    </w:p>
    <w:p>
      <w:pPr>
        <w:numPr>
          <w:ilvl w:val="1"/>
          <w:numId w:val="1016"/>
        </w:numPr>
        <w:pStyle w:val="Compact"/>
      </w:pPr>
      <w:r>
        <w:rPr>
          <w:bCs/>
          <w:b/>
        </w:rPr>
        <w:t xml:space="preserve">Recyclability Percentage:</w:t>
      </w:r>
      <w:r>
        <w:t xml:space="preserve"> </w:t>
      </w:r>
      <w:r>
        <w:t xml:space="preserve">80% (ndislleqqh)</w:t>
      </w:r>
    </w:p>
    <w:p>
      <w:pPr>
        <w:numPr>
          <w:ilvl w:val="1"/>
          <w:numId w:val="1016"/>
        </w:numPr>
        <w:pStyle w:val="Compact"/>
      </w:pPr>
      <w:r>
        <w:rPr>
          <w:bCs/>
          <w:b/>
        </w:rPr>
        <w:t xml:space="preserve">Circular/Take-back Programs:</w:t>
      </w:r>
      <w:r>
        <w:t xml:space="preserve"> </w:t>
      </w:r>
      <w:r>
        <w:t xml:space="preserve">Yes (esgkqiypyl)</w:t>
      </w:r>
    </w:p>
    <w:p>
      <w:pPr>
        <w:numPr>
          <w:ilvl w:val="1"/>
          <w:numId w:val="1016"/>
        </w:numPr>
        <w:pStyle w:val="Compact"/>
      </w:pPr>
      <w:r>
        <w:t xml:space="preserve">Assuming 80% recycled, 20% landfilled. Illustrative avoided emissions for recycling (e.g., 0.5 kg CO2e credit/kg for metals/plastics) and emissions for landfill (e.g., 1.0 kg CO2e/kg for remaining waste). Product weight ~1 kg.</w:t>
      </w:r>
    </w:p>
    <w:p>
      <w:pPr>
        <w:numPr>
          <w:ilvl w:val="1"/>
          <w:numId w:val="1016"/>
        </w:numPr>
        <w:pStyle w:val="Compact"/>
      </w:pPr>
      <w:r>
        <w:t xml:space="preserve">Recycling Credit: -0.8 kg CO2e/unit (0.8 kg * -1.0 kg CO2e/kg illustrative average credit for recycling)</w:t>
      </w:r>
    </w:p>
    <w:p>
      <w:pPr>
        <w:numPr>
          <w:ilvl w:val="1"/>
          <w:numId w:val="1016"/>
        </w:numPr>
        <w:pStyle w:val="Compact"/>
      </w:pPr>
      <w:r>
        <w:t xml:space="preserve">Landfill Emissions: 0.2 kg CO2e/unit (0.2 kg * 1.0 kg CO2e/kg illustrative landfill emissions)</w:t>
      </w:r>
    </w:p>
    <w:p>
      <w:pPr>
        <w:numPr>
          <w:ilvl w:val="1"/>
          <w:numId w:val="1016"/>
        </w:numPr>
        <w:pStyle w:val="Compact"/>
      </w:pPr>
      <w:r>
        <w:t xml:space="preserve">Net End-of-Life: -0.6 kg CO2e/unit</w:t>
      </w:r>
    </w:p>
    <w:p>
      <w:pPr>
        <w:pStyle w:val="FirstParagraph"/>
      </w:pPr>
      <w:r>
        <w:rPr>
          <w:bCs/>
          <w:b/>
        </w:rPr>
        <w:t xml:space="preserve">Total Illustrative Downstream Scope 3 Emissions: 0.5 + 15.0 - 0.6 = 14.9 kg CO2e/unit</w:t>
      </w:r>
    </w:p>
    <w:bookmarkEnd w:id="34"/>
    <w:bookmarkEnd w:id="35"/>
    <w:bookmarkStart w:id="36" w:name="lsr-update-land-sector-and-removals"/>
    <w:p>
      <w:pPr>
        <w:pStyle w:val="Heading4"/>
      </w:pPr>
      <w:r>
        <w:t xml:space="preserve">2026 LSR Update (Land Sector and Removals)</w:t>
      </w:r>
    </w:p>
    <w:p>
      <w:pPr>
        <w:pStyle w:val="FirstParagraph"/>
      </w:pPr>
      <w:r>
        <w:t xml:space="preserve">The 2026 LSR Standard is applied by explicitly accounting for any land use change emissions or carbon removals associated with the product\'s supply chain. While specific land use data for \'xgdlsgggvg\' components is not provided, in a full assessment, emissions from land use change (e.g., deforestation for specific raw materials) and removals (e.g., from sustainably managed forests for wood-based components) would be quantified and categorized, often within Scope 3. For this illustrative report, we assume no significant land use change emissions or removals directly attributable to the specific components listed without further data, but acknowledge its importance for a complete 2026 compliant report.</w:t>
      </w:r>
    </w:p>
    <w:bookmarkEnd w:id="36"/>
    <w:bookmarkEnd w:id="37"/>
    <w:bookmarkStart w:id="38" w:name="review-report"/>
    <w:p>
      <w:pPr>
        <w:pStyle w:val="Heading3"/>
      </w:pPr>
      <w:r>
        <w:t xml:space="preserve">5. Review &amp; Report</w:t>
      </w:r>
    </w:p>
    <w:p>
      <w:pPr>
        <w:pStyle w:val="FirstParagraph"/>
      </w:pPr>
      <w:r>
        <w:t xml:space="preserve">The calculation results are reviewed for consistency and completeness. Hotspots are identified, and the reliability of the underlying data is assessed. This report itself serves as the reporting stage.</w:t>
      </w:r>
    </w:p>
    <w:p>
      <w:r>
        <w:pict>
          <v:rect style="width:0;height:1.5pt" o:hralign="center" o:hrstd="t" o:hr="t"/>
        </w:pict>
      </w:r>
    </w:p>
    <w:bookmarkEnd w:id="38"/>
    <w:bookmarkEnd w:id="39"/>
    <w:bookmarkStart w:id="41" w:name="X8abf1b57c5d3f77fc5962a44be7640051a83cc4"/>
    <w:p>
      <w:pPr>
        <w:pStyle w:val="Heading2"/>
      </w:pPr>
      <w:r>
        <w:t xml:space="preserve">Product Carbon Footprint Summary for xgdlsgggvg</w:t>
      </w:r>
    </w:p>
    <w:p>
      <w:pPr>
        <w:pStyle w:val="FirstParagraph"/>
      </w:pPr>
      <w:r>
        <w:t xml:space="preserve">Based on the illustrative data and methodologies outlined, the estimated Product Carbon Footprint for one unit of \'xgdlsgggvg\'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Illustrative CO2e (kg/unit)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0.1</w:t>
            </w:r>
          </w:p>
        </w:tc>
        <w:tc>
          <w:tcPr/>
          <w:p>
            <w:pPr>
              <w:pStyle w:val="Compact"/>
              <w:jc w:val="left"/>
            </w:pPr>
            <w:r>
              <w:t xml:space="preserve">0.4%</w:t>
            </w:r>
          </w:p>
        </w:tc>
      </w:tr>
      <w:tr>
        <w:tc>
          <w:tcPr/>
          <w:p>
            <w:pPr>
              <w:pStyle w:val="Compact"/>
              <w:jc w:val="left"/>
            </w:pPr>
            <w:r>
              <w:t xml:space="preserve">Scope 2 (Purchased Energy)</w:t>
            </w:r>
          </w:p>
        </w:tc>
        <w:tc>
          <w:tcPr/>
          <w:p>
            <w:pPr>
              <w:pStyle w:val="Compact"/>
              <w:jc w:val="left"/>
            </w:pPr>
            <w:r>
              <w:t xml:space="preserve">4.5</w:t>
            </w:r>
          </w:p>
        </w:tc>
        <w:tc>
          <w:tcPr/>
          <w:p>
            <w:pPr>
              <w:pStyle w:val="Compact"/>
              <w:jc w:val="left"/>
            </w:pPr>
            <w:r>
              <w:t xml:space="preserve">17.0%</w:t>
            </w:r>
          </w:p>
        </w:tc>
      </w:tr>
      <w:tr>
        <w:tc>
          <w:tcPr/>
          <w:p>
            <w:pPr>
              <w:pStyle w:val="Compact"/>
              <w:jc w:val="left"/>
            </w:pPr>
            <w:r>
              <w:t xml:space="preserve">Scope 3 (Upstream)</w:t>
            </w:r>
          </w:p>
        </w:tc>
        <w:tc>
          <w:tcPr/>
          <w:p>
            <w:pPr>
              <w:pStyle w:val="Compact"/>
              <w:jc w:val="left"/>
            </w:pPr>
            <w:r>
              <w:t xml:space="preserve">8.35</w:t>
            </w:r>
          </w:p>
        </w:tc>
        <w:tc>
          <w:tcPr/>
          <w:p>
            <w:pPr>
              <w:pStyle w:val="Compact"/>
              <w:jc w:val="left"/>
            </w:pPr>
            <w:r>
              <w:t xml:space="preserve">31.5%</w:t>
            </w:r>
          </w:p>
        </w:tc>
      </w:tr>
      <w:tr>
        <w:tc>
          <w:tcPr/>
          <w:p>
            <w:pPr>
              <w:pStyle w:val="Compact"/>
              <w:jc w:val="left"/>
            </w:pPr>
            <w:r>
              <w:t xml:space="preserve">Scope 3 (Downstream)</w:t>
            </w:r>
          </w:p>
        </w:tc>
        <w:tc>
          <w:tcPr/>
          <w:p>
            <w:pPr>
              <w:pStyle w:val="Compact"/>
              <w:jc w:val="left"/>
            </w:pPr>
            <w:r>
              <w:t xml:space="preserve">14.9</w:t>
            </w:r>
          </w:p>
        </w:tc>
        <w:tc>
          <w:tcPr/>
          <w:p>
            <w:pPr>
              <w:pStyle w:val="Compact"/>
              <w:jc w:val="left"/>
            </w:pPr>
            <w:r>
              <w:t xml:space="preserve">56.2%</w:t>
            </w:r>
          </w:p>
        </w:tc>
      </w:tr>
      <w:tr>
        <w:tc>
          <w:tcPr/>
          <w:p>
            <w:pPr>
              <w:pStyle w:val="Compact"/>
              <w:jc w:val="left"/>
            </w:pPr>
            <w:r>
              <w:rPr>
                <w:bCs/>
                <w:b/>
              </w:rPr>
              <w:t xml:space="preserve">Total PCF</w:t>
            </w:r>
          </w:p>
        </w:tc>
        <w:tc>
          <w:tcPr/>
          <w:p>
            <w:pPr>
              <w:pStyle w:val="Compact"/>
              <w:jc w:val="left"/>
            </w:pPr>
            <w:r>
              <w:rPr>
                <w:bCs/>
                <w:b/>
              </w:rPr>
              <w:t xml:space="preserve">26.45</w:t>
            </w:r>
          </w:p>
        </w:tc>
        <w:tc>
          <w:tcPr/>
          <w:p>
            <w:pPr>
              <w:pStyle w:val="Compact"/>
              <w:jc w:val="left"/>
            </w:pPr>
            <w:r>
              <w:rPr>
                <w:bCs/>
                <w:b/>
              </w:rPr>
              <w:t xml:space="preserve">100.0%</w:t>
            </w:r>
          </w:p>
        </w:tc>
      </w:tr>
    </w:tbl>
    <w:p>
      <w:pPr>
        <w:pStyle w:val="BodyText"/>
      </w:pPr>
      <w:r>
        <w:rPr>
          <w:iCs/>
          <w:i/>
        </w:rPr>
        <w:t xml:space="preserve">Note: Percentages may not sum to exactly 100% due to rounding. These values are illustrative based on the sample data and emission factors used in this report.</w:t>
      </w:r>
    </w:p>
    <w:bookmarkStart w:id="40" w:name="emission-hotspots-and-reliability"/>
    <w:p>
      <w:pPr>
        <w:pStyle w:val="Heading3"/>
      </w:pPr>
      <w:r>
        <w:t xml:space="preserve">Emission Hotspots and Reliability</w:t>
      </w:r>
    </w:p>
    <w:p>
      <w:pPr>
        <w:numPr>
          <w:ilvl w:val="0"/>
          <w:numId w:val="1017"/>
        </w:numPr>
        <w:pStyle w:val="Compact"/>
      </w:pPr>
      <w:r>
        <w:rPr>
          <w:bCs/>
          <w:b/>
        </w:rPr>
        <w:t xml:space="preserve">Use Phase (Illustrative Scope 3 Downstream):</w:t>
      </w:r>
      <w:r>
        <w:t xml:space="preserve"> </w:t>
      </w:r>
      <w:r>
        <w:t xml:space="preserve">The use phase represents the largest hotspot, primarily due to the product\'s energy consumption over its lifespan. This highlights the importance of energy efficiency in product design and educating users on sustainable energy sourcing.</w:t>
      </w:r>
    </w:p>
    <w:p>
      <w:pPr>
        <w:numPr>
          <w:ilvl w:val="0"/>
          <w:numId w:val="1017"/>
        </w:numPr>
        <w:pStyle w:val="Compact"/>
      </w:pPr>
      <w:r>
        <w:rPr>
          <w:bCs/>
          <w:b/>
        </w:rPr>
        <w:t xml:space="preserve">Purchased Goods and Services (Illustrative Scope 3 Upstream):</w:t>
      </w:r>
      <w:r>
        <w:t xml:space="preserve"> </w:t>
      </w:r>
      <w:r>
        <w:t xml:space="preserve">Material production contributes significantly, emphasizing the need for sourcing lower-carbon materials and optimizing material usage.</w:t>
      </w:r>
    </w:p>
    <w:p>
      <w:pPr>
        <w:numPr>
          <w:ilvl w:val="0"/>
          <w:numId w:val="1017"/>
        </w:numPr>
        <w:pStyle w:val="Compact"/>
      </w:pPr>
      <w:r>
        <w:rPr>
          <w:bCs/>
          <w:b/>
        </w:rPr>
        <w:t xml:space="preserve">Manufacturing Energy (Illustrative Scope 2):</w:t>
      </w:r>
      <w:r>
        <w:t xml:space="preserve"> </w:t>
      </w:r>
      <w:r>
        <w:t xml:space="preserve">While lower than use phase, the electricity consumed during manufacturing is a notable contributor, indicating opportunities for increasing renewable energy procurement.</w:t>
      </w:r>
    </w:p>
    <w:p>
      <w:pPr>
        <w:numPr>
          <w:ilvl w:val="0"/>
          <w:numId w:val="1017"/>
        </w:numPr>
        <w:pStyle w:val="Compact"/>
      </w:pPr>
      <w:r>
        <w:rPr>
          <w:bCs/>
          <w:b/>
        </w:rPr>
        <w:t xml:space="preserve">Reliability:</w:t>
      </w:r>
      <w:r>
        <w:t xml:space="preserve"> </w:t>
      </w:r>
      <w:r>
        <w:t xml:space="preserve">The reliability of this report is directly dependent on the accuracy and completeness of the input data. For a final, verifiable PCF, all placeholder data would need to be replaced with primary, verified company-specific data and validated secondary emission factors.</w:t>
      </w:r>
    </w:p>
    <w:p>
      <w:r>
        <w:pict>
          <v:rect style="width:0;height:1.5pt" o:hralign="center" o:hrstd="t" o:hr="t"/>
        </w:pict>
      </w:r>
    </w:p>
    <w:bookmarkEnd w:id="40"/>
    <w:bookmarkEnd w:id="41"/>
    <w:bookmarkStart w:id="42" w:name="X788fbff7c021e2a678ac07c45b3966641b0fc80"/>
    <w:p>
      <w:pPr>
        <w:pStyle w:val="Heading2"/>
      </w:pPr>
      <w:r>
        <w:t xml:space="preserve">Recommendations for Carbon Footprint Reduction</w:t>
      </w:r>
    </w:p>
    <w:p>
      <w:pPr>
        <w:pStyle w:val="FirstParagraph"/>
      </w:pPr>
      <w:r>
        <w:t xml:space="preserve">Based on the analysis, \'pqokugxrdv\' can consider the following strategies to reduce the carbon footprint of \'xgdlsgggvg\':</w:t>
      </w:r>
    </w:p>
    <w:p>
      <w:pPr>
        <w:numPr>
          <w:ilvl w:val="0"/>
          <w:numId w:val="1018"/>
        </w:numPr>
        <w:pStyle w:val="Compact"/>
      </w:pPr>
      <w:r>
        <w:rPr>
          <w:bCs/>
          <w:b/>
        </w:rPr>
        <w:t xml:space="preserve">Enhance Energy Efficiency in Use:</w:t>
      </w:r>
      <w:r>
        <w:t xml:space="preserve"> </w:t>
      </w:r>
      <w:r>
        <w:t xml:space="preserve">Focus on designing \'xgdlsgggvg\' for lower energy consumption during its lifespan. This could involve more efficient components or power management features.</w:t>
      </w:r>
    </w:p>
    <w:p>
      <w:pPr>
        <w:numPr>
          <w:ilvl w:val="0"/>
          <w:numId w:val="1018"/>
        </w:numPr>
        <w:pStyle w:val="Compact"/>
      </w:pPr>
      <w:r>
        <w:rPr>
          <w:bCs/>
          <w:b/>
        </w:rPr>
        <w:t xml:space="preserve">Increase Renewable Energy Sourcing:</w:t>
      </w:r>
      <w:r>
        <w:t xml:space="preserve"> </w:t>
      </w:r>
      <w:r>
        <w:t xml:space="preserve">Further increase the percentage of renewable energy used in manufacturing operations (beyond the illustrative 50% `szxepqokih`) to reduce Scope 2 emissions.</w:t>
      </w:r>
    </w:p>
    <w:p>
      <w:pPr>
        <w:numPr>
          <w:ilvl w:val="0"/>
          <w:numId w:val="1018"/>
        </w:numPr>
        <w:pStyle w:val="Compact"/>
      </w:pPr>
      <w:r>
        <w:rPr>
          <w:bCs/>
          <w:b/>
        </w:rPr>
        <w:t xml:space="preserve">Sustainable Material Sourcing:</w:t>
      </w:r>
      <w:r>
        <w:t xml:space="preserve"> </w:t>
      </w:r>
      <w:r>
        <w:t xml:space="preserve">Explore and prioritize suppliers offering materials with lower embedded carbon footprints. This includes recycled content, bio-based materials, and materials produced with renewable energy.</w:t>
      </w:r>
    </w:p>
    <w:p>
      <w:pPr>
        <w:numPr>
          <w:ilvl w:val="0"/>
          <w:numId w:val="1018"/>
        </w:numPr>
        <w:pStyle w:val="Compact"/>
      </w:pPr>
      <w:r>
        <w:rPr>
          <w:bCs/>
          <w:b/>
        </w:rPr>
        <w:t xml:space="preserve">Optimize Logistics:</w:t>
      </w:r>
      <w:r>
        <w:t xml:space="preserve"> </w:t>
      </w:r>
      <w:r>
        <w:t xml:space="preserve">Evaluate opportunities to optimize transportation routes, modes (e.g., shifting from air to sea/rail where feasible), and consolidate shipments to reduce transport-related emissions.</w:t>
      </w:r>
    </w:p>
    <w:p>
      <w:pPr>
        <w:numPr>
          <w:ilvl w:val="0"/>
          <w:numId w:val="1018"/>
        </w:numPr>
        <w:pStyle w:val="Compact"/>
      </w:pPr>
      <w:r>
        <w:rPr>
          <w:bCs/>
          <w:b/>
        </w:rPr>
        <w:t xml:space="preserve">Strengthen Circular Economy Initiatives:</w:t>
      </w:r>
      <w:r>
        <w:t xml:space="preserve"> </w:t>
      </w:r>
      <w:r>
        <w:t xml:space="preserve">Expand take-back and recycling programs (`esgkqiypyl`) and design products for easier disassembly, repair, and recycling to maximize material recovery and minimize end-of-life impacts. Consider modular designs for component replacement and refurbishment.</w:t>
      </w:r>
    </w:p>
    <w:p>
      <w:r>
        <w:pict>
          <v:rect style="width:0;height:1.5pt" o:hralign="center" o:hrstd="t" o:hr="t"/>
        </w:pict>
      </w:r>
    </w:p>
    <w:p>
      <w:pPr>
        <w:pStyle w:val="FirstParagraph"/>
      </w:pPr>
      <w:r>
        <w:t xml:space="preserve">Confidential - Internal Use Only.</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xgdlsgggvg</dc:title>
  <dc:creator/>
  <dc:description>Detailed Product Carbon Footprint (PCF) analysis report for xgdlsgggvg, conducted by pljowerqut, Senior Sustainability Consultant, adhering to GHG Protocol standards and 2026 LSR updates.</dc:description>
  <dc:language>en</dc:language>
  <cp:keywords/>
  <dcterms:created xsi:type="dcterms:W3CDTF">2026-07-14T23:43:28Z</dcterms:created>
  <dcterms:modified xsi:type="dcterms:W3CDTF">2026-07-14T23:43:28Z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