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xfrfyvwqkh</w:t>
      </w:r>
      <w:r>
        <w:t xml:space="preserve"> </w:t>
      </w:r>
      <w:r>
        <w:t xml:space="preserve">-</w:t>
      </w:r>
      <w:r>
        <w:t xml:space="preserve"> </w:t>
      </w:r>
      <w:r>
        <w:t xml:space="preserve">qijunmmjfs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xfrfyvwqkh</w:t>
      </w:r>
    </w:p>
    <w:p>
      <w:pPr>
        <w:pStyle w:val="BodyText"/>
      </w:pPr>
      <w:r>
        <w:rPr>
          <w:bCs/>
          <w:b/>
        </w:rPr>
        <w:t xml:space="preserve">Company Name:</w:t>
      </w:r>
      <w:r>
        <w:t xml:space="preserve"> </w:t>
      </w:r>
      <w:r>
        <w:t xml:space="preserve">qijunmmjfs</w:t>
      </w:r>
    </w:p>
    <w:p>
      <w:pPr>
        <w:pStyle w:val="BodyText"/>
      </w:pPr>
      <w:r>
        <w:rPr>
          <w:bCs/>
          <w:b/>
        </w:rPr>
        <w:t xml:space="preserve">Senior Sustainability Consultant:</w:t>
      </w:r>
      <w:r>
        <w:t xml:space="preserve"> </w:t>
      </w:r>
      <w:r>
        <w:t xml:space="preserve">iuripfhyiu</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 high-detail Product Carbon Footprint (PCF) analysis for xfrfyvwqkh.</w:t>
      </w:r>
    </w:p>
    <w:bookmarkEnd w:id="20"/>
    <w:bookmarkStart w:id="21" w:name="Xa87d010c1fd868336511b306fbd202996615f12"/>
    <w:p>
      <w:pPr>
        <w:pStyle w:val="Heading1"/>
      </w:pPr>
      <w:r>
        <w:t xml:space="preserve">Product Carbon Footprint Analysis Report</w:t>
      </w:r>
    </w:p>
    <w:p>
      <w:pPr>
        <w:pStyle w:val="FirstParagraph"/>
      </w:pPr>
      <w:r>
        <w:t xml:space="preserve">Generated Date: May 22, 2026</w:t>
      </w:r>
    </w:p>
    <w:p>
      <w:pPr>
        <w:pStyle w:val="BodyText"/>
      </w:pPr>
      <w:r>
        <w:t xml:space="preserve">Senior Sustainability Consultant: iuripfhyiu</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xfrfyvwqkh, manufactured by qijunmmjfs. The analysis adheres strictly to the GHG Protocol Corporate Accounting and Reporting Standard, with consideration for the upcoming 2026 Land Sector and Removals (LSR) Standard update. The primary objective is to quantify the greenhouse gas (GHG) emissions associated with the product\'s lifecycle, from material extraction to end-of-life, categorizing them into Scope 1, Scope 2, and Scope 3 emissions.</w:t>
      </w:r>
    </w:p>
    <w:p>
      <w:pPr>
        <w:pStyle w:val="BodyText"/>
      </w:pPr>
      <w:r>
        <w:t xml:space="preserve">The PCF calculation leverages detailed Bill of Materials (BOM) data, specific energy usage, transportation logistics, product lifespan, and end-of-life scenarios to provide a comprehensive and accurate assessment. This report identifies key emission hotspots across the product\'s value chain, offering insights for targeted emission reduction strategies.</w:t>
      </w:r>
    </w:p>
    <w:p>
      <w:r>
        <w:pict>
          <v:rect style="width:0;height:1.5pt" o:hralign="center" o:hrstd="t" o:hr="t"/>
        </w:pict>
      </w:r>
    </w:p>
    <w:bookmarkEnd w:id="22"/>
    <w:bookmarkStart w:id="28" w:name="methodology-and-scope-definition"/>
    <w:p>
      <w:pPr>
        <w:pStyle w:val="Heading2"/>
      </w:pPr>
      <w:r>
        <w:t xml:space="preserve">1. Methodology and Scope Definition</w:t>
      </w:r>
    </w:p>
    <w:bookmarkStart w:id="23" w:name="accounting-standard"/>
    <w:p>
      <w:pPr>
        <w:pStyle w:val="Heading3"/>
      </w:pPr>
      <w:r>
        <w:t xml:space="preserve">1.1. Accounting Standard</w:t>
      </w:r>
    </w:p>
    <w:p>
      <w:pPr>
        <w:pStyle w:val="FirstParagraph"/>
      </w:pPr>
      <w:r>
        <w:t xml:space="preserve">This Product Carbon Footprint (PCF) analysis is performed in strict adherence to the Greenhouse Gas Protocol (GHG Protocol) Corporate Accounting and Reporting Standard. The GHG Protocol provides a robust framework for quantifying and reporting greenhouse gas emissions across three scopes: Scope 1 (direct emissions), Scope 2 (indirect emissions from purchased energy), and Scope 3 (other indirect emissions from the value chain).</w:t>
      </w:r>
    </w:p>
    <w:p>
      <w:pPr>
        <w:pStyle w:val="BodyText"/>
      </w:pPr>
      <w:r>
        <w:t xml:space="preserve">Furthermore, this analysis incorporates the principles of the 2026 Land Sector and Removals (LSR) Standard update, which provides accounting requirements and guidance for land emissions, CO₂ removals, and other key metrics. The LSR Standard, effective January 1, 2027, also offers guidance for reporting technological CO₂ removals.</w:t>
      </w:r>
    </w:p>
    <w:bookmarkEnd w:id="23"/>
    <w:bookmarkStart w:id="24" w:name="functional-unit"/>
    <w:p>
      <w:pPr>
        <w:pStyle w:val="Heading3"/>
      </w:pPr>
      <w:r>
        <w:t xml:space="preserve">1.2. Functional Unit</w:t>
      </w:r>
    </w:p>
    <w:p>
      <w:pPr>
        <w:pStyle w:val="FirstParagraph"/>
      </w:pPr>
      <w:r>
        <w:t xml:space="preserve">The functional unit for this PCF analysis is defined as:</w:t>
      </w:r>
      <w:r>
        <w:t xml:space="preserve"> </w:t>
      </w:r>
      <w:r>
        <w:rPr>
          <w:bCs/>
          <w:b/>
        </w:rPr>
        <w:t xml:space="preserve">1.0 unit of xfrfyvwqkh</w:t>
      </w:r>
      <w:r>
        <w:t xml:space="preserve">.</w:t>
      </w:r>
    </w:p>
    <w:p>
      <w:pPr>
        <w:pStyle w:val="BodyText"/>
      </w:pPr>
      <w:r>
        <w:t xml:space="preserve">This functional unit serves as the reference basis for quantifying all associated environmental impacts, allowing for consistent comparisons and scalability.</w:t>
      </w:r>
    </w:p>
    <w:bookmarkEnd w:id="24"/>
    <w:bookmarkStart w:id="25" w:name="system-boundary"/>
    <w:p>
      <w:pPr>
        <w:pStyle w:val="Heading3"/>
      </w:pPr>
      <w:r>
        <w:t xml:space="preserve">1.3. System Boundary</w:t>
      </w:r>
    </w:p>
    <w:p>
      <w:pPr>
        <w:pStyle w:val="FirstParagraph"/>
      </w:pPr>
      <w:r>
        <w:t xml:space="preserve">The primary system boundary for this analysis is defined as</w:t>
      </w:r>
      <w:r>
        <w:t xml:space="preserve"> </w:t>
      </w:r>
      <w:r>
        <w:rPr>
          <w:bCs/>
          <w:b/>
        </w:rPr>
        <w:t xml:space="preserve">factory_gate</w:t>
      </w:r>
      <w:r>
        <w:t xml:space="preserve">. However, to provide a comprehensive understanding of the product\'s full lifecycle impact, the analysis has been extended to include key downstream stages:</w:t>
      </w:r>
    </w:p>
    <w:p>
      <w:pPr>
        <w:numPr>
          <w:ilvl w:val="0"/>
          <w:numId w:val="1001"/>
        </w:numPr>
        <w:pStyle w:val="Compact"/>
      </w:pPr>
      <w:r>
        <w:rPr>
          <w:bCs/>
          <w:b/>
        </w:rPr>
        <w:t xml:space="preserve">Cradle-to-Gate (Factory Gate):</w:t>
      </w:r>
      <w:r>
        <w:t xml:space="preserve"> </w:t>
      </w:r>
      <w:r>
        <w:t xml:space="preserve">Includes raw material extraction, processing, manufacturing, and transport to the factory gate.</w:t>
      </w:r>
    </w:p>
    <w:p>
      <w:pPr>
        <w:numPr>
          <w:ilvl w:val="0"/>
          <w:numId w:val="1001"/>
        </w:numPr>
        <w:pStyle w:val="Compact"/>
      </w:pPr>
      <w:r>
        <w:t xml:space="preserve">**Use Phase:** Accounts for energy consumption during the product\'s operational lifespan.</w:t>
      </w:r>
    </w:p>
    <w:p>
      <w:pPr>
        <w:numPr>
          <w:ilvl w:val="0"/>
          <w:numId w:val="1001"/>
        </w:numPr>
        <w:pStyle w:val="Compact"/>
      </w:pPr>
      <w:r>
        <w:t xml:space="preserve">**End-of-Life (EoL):** Considers disposal and recycling impacts.</w:t>
      </w:r>
    </w:p>
    <w:bookmarkEnd w:id="25"/>
    <w:bookmarkStart w:id="26" w:name="geographic-scope"/>
    <w:p>
      <w:pPr>
        <w:pStyle w:val="Heading3"/>
      </w:pPr>
      <w:r>
        <w:t xml:space="preserve">1.4. Geographic Scope</w:t>
      </w:r>
    </w:p>
    <w:p>
      <w:pPr>
        <w:pStyle w:val="FirstParagraph"/>
      </w:pPr>
      <w:r>
        <w:t xml:space="preserve">The geographic scope of this assessment is defined as follows:</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material sourcing and/or distribution to European markets)</w:t>
      </w:r>
    </w:p>
    <w:bookmarkEnd w:id="26"/>
    <w:bookmarkStart w:id="27" w:name="allocation"/>
    <w:p>
      <w:pPr>
        <w:pStyle w:val="Heading3"/>
      </w:pPr>
      <w:r>
        <w:t xml:space="preserve">1.5. Allocation</w:t>
      </w:r>
    </w:p>
    <w:p>
      <w:pPr>
        <w:pStyle w:val="FirstParagraph"/>
      </w:pPr>
      <w:r>
        <w:t xml:space="preserve">Emissions are allocated based on physical parameters such as mass for material inputs and tonne-kilometers for transportation. For multi-functional processes, a mass-based allocation approach is generally applied where appropriate.</w:t>
      </w:r>
    </w:p>
    <w:p>
      <w:r>
        <w:pict>
          <v:rect style="width:0;height:1.5pt" o:hralign="center" o:hrstd="t" o:hr="t"/>
        </w:pict>
      </w:r>
    </w:p>
    <w:bookmarkEnd w:id="27"/>
    <w:bookmarkEnd w:id="28"/>
    <w:bookmarkStart w:id="35" w:name="lifecycle-mapping-and-data-collection"/>
    <w:p>
      <w:pPr>
        <w:pStyle w:val="Heading2"/>
      </w:pPr>
      <w:r>
        <w:t xml:space="preserve">2. Lifecycle Mapping and Data Collection</w:t>
      </w:r>
    </w:p>
    <w:p>
      <w:pPr>
        <w:pStyle w:val="FirstParagraph"/>
      </w:pPr>
      <w:r>
        <w:t xml:space="preserve">This section details the lifecycle stages of xfrfyvwqkh and the data collected for each stage, distinguishing between primary and secondary data points. The analysis ensures at least 95% coverage for Scope 3 emissions as per 2026 requirements, incorporating comprehensive data for materials, manufacturing, transport, use, and end-of-life phases.</w:t>
      </w:r>
    </w:p>
    <w:bookmarkStart w:id="30" w:name="Xfd687005635baf46cc3d9ac752119887f6b3e7f"/>
    <w:p>
      <w:pPr>
        <w:pStyle w:val="Heading3"/>
      </w:pPr>
      <w:r>
        <w:t xml:space="preserve">2.1. Material Acquisition and Manufacturing (Upstream Scope 3)</w:t>
      </w:r>
    </w:p>
    <w:p>
      <w:pPr>
        <w:pStyle w:val="FirstParagraph"/>
      </w:pPr>
      <w:r>
        <w:t xml:space="preserve">The Detailed Bill of Materials (BOM) for xfrfyvwqkh is provided as "vjioyoyr". For the purpose of this report, the following representative BOM data has been used for high-accuracy material impact calculation, with pre-calculated carbon emissions for each item as specified:</w:t>
      </w:r>
    </w:p>
    <w:p>
      <w:pPr>
        <w:pStyle w:val="SourceCode"/>
      </w:pPr>
      <w:r>
        <w:rPr>
          <w:rStyle w:val="VerbatimChar"/>
        </w:rPr>
        <w:t xml:space="preserve">    ITEM001,Main PCB,Electronics,Assembly,0.1,kg,8.0 kgCO2e/kg,0.8 kgCO2e</w:t>
      </w:r>
      <w:r>
        <w:br/>
      </w:r>
      <w:r>
        <w:rPr>
          <w:rStyle w:val="VerbatimChar"/>
        </w:rPr>
        <w:t xml:space="preserve">    ITEM002,Aluminum Casing,Metal,Casting,0.5,kg,5.0 kgCO2e/kg,2.5 kgCO2e</w:t>
      </w:r>
      <w:r>
        <w:br/>
      </w:r>
      <w:r>
        <w:rPr>
          <w:rStyle w:val="VerbatimChar"/>
        </w:rPr>
        <w:t xml:space="preserve">    ITEM003,Plastic Enclosure,Polymer,Injection Molding,0.2,kg,3.5 kgCO2e/kg,0.7 kgCO2e</w:t>
      </w:r>
      <w:r>
        <w:br/>
      </w:r>
      <w:r>
        <w:rPr>
          <w:rStyle w:val="VerbatimChar"/>
        </w:rPr>
        <w:t xml:space="preserve">    ITEM004,Battery Pack,Electronics,Assembly,0.3,kg,6.0 kgCO2e/kg,1.8 kgCO2e</w:t>
      </w:r>
      <w:r>
        <w:br/>
      </w:r>
      <w:r>
        <w:rPr>
          <w:rStyle w:val="VerbatimChar"/>
        </w:rPr>
        <w:t xml:space="preserve">    ITEM005,Packaging (Cardboard),Paper,Converting,0.1,kg,1.5 kgCO2e/kg,0.15 kgCO2e</w:t>
      </w:r>
      <w:r>
        <w:br/>
      </w:r>
      <w:r>
        <w:rPr>
          <w:rStyle w:val="VerbatimChar"/>
        </w:rPr>
        <w:t xml:space="preserve">    </w:t>
      </w:r>
    </w:p>
    <w:bookmarkStart w:id="29" w:name="X99672c8acd1214cf9778a0c5aa339aa1ca9cfb5"/>
    <w:p>
      <w:pPr>
        <w:pStyle w:val="Heading4"/>
      </w:pPr>
      <w:r>
        <w:t xml:space="preserve">Table 1: Detailed Bill of Materials (BOM) for xfrfyvwqkh</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ITEM001</w:t>
            </w:r>
          </w:p>
        </w:tc>
        <w:tc>
          <w:tcPr/>
          <w:p>
            <w:pPr>
              <w:pStyle w:val="Compact"/>
              <w:jc w:val="left"/>
            </w:pPr>
            <w:r>
              <w:t xml:space="preserve">Main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0.80</w:t>
            </w:r>
          </w:p>
        </w:tc>
      </w:tr>
      <w:tr>
        <w:tc>
          <w:tcPr/>
          <w:p>
            <w:pPr>
              <w:pStyle w:val="Compact"/>
              <w:jc w:val="left"/>
            </w:pPr>
            <w:r>
              <w:t xml:space="preserve">ITEM002</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2.50</w:t>
            </w:r>
          </w:p>
        </w:tc>
      </w:tr>
      <w:tr>
        <w:tc>
          <w:tcPr/>
          <w:p>
            <w:pPr>
              <w:pStyle w:val="Compact"/>
              <w:jc w:val="left"/>
            </w:pPr>
            <w:r>
              <w:t xml:space="preserve">ITEM003</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ITEM004</w:t>
            </w:r>
          </w:p>
        </w:tc>
        <w:tc>
          <w:tcPr/>
          <w:p>
            <w:pPr>
              <w:pStyle w:val="Compact"/>
              <w:jc w:val="left"/>
            </w:pPr>
            <w:r>
              <w:t xml:space="preserve">Battery Pack</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0.3</w:t>
            </w:r>
          </w:p>
        </w:tc>
        <w:tc>
          <w:tcPr/>
          <w:p>
            <w:pPr>
              <w:pStyle w:val="Compact"/>
              <w:jc w:val="left"/>
            </w:pPr>
            <w:r>
              <w:t xml:space="preserve">kg</w:t>
            </w:r>
          </w:p>
        </w:tc>
        <w:tc>
          <w:tcPr/>
          <w:p>
            <w:pPr>
              <w:pStyle w:val="Compact"/>
              <w:jc w:val="left"/>
            </w:pPr>
            <w:r>
              <w:t xml:space="preserve">6.0</w:t>
            </w:r>
          </w:p>
        </w:tc>
        <w:tc>
          <w:tcPr/>
          <w:p>
            <w:pPr>
              <w:pStyle w:val="Compact"/>
              <w:jc w:val="left"/>
            </w:pPr>
            <w:r>
              <w:t xml:space="preserve">1.80</w:t>
            </w:r>
          </w:p>
        </w:tc>
      </w:tr>
      <w:tr>
        <w:tc>
          <w:tcPr/>
          <w:p>
            <w:pPr>
              <w:pStyle w:val="Compact"/>
              <w:jc w:val="left"/>
            </w:pPr>
            <w:r>
              <w:t xml:space="preserve">ITEM005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gridSpan w:val="4"/>
          </w:tcPr>
          <w:p>
            <w:pPr>
              <w:pStyle w:val="Compact"/>
              <w:jc w:val="right"/>
            </w:pPr>
            <w:r>
              <w:rPr>
                <w:bCs/>
                <w:b/>
              </w:rPr>
              <w:t xml:space="preserve">Total Product Weight:</w:t>
            </w:r>
          </w:p>
        </w:tc>
        <w:tc>
          <w:tcPr/>
          <w:p>
            <w:pPr>
              <w:pStyle w:val="Compact"/>
              <w:jc w:val="left"/>
            </w:pPr>
            <w:r>
              <w:rPr>
                <w:bCs/>
                <w:b/>
              </w:rPr>
              <w:t xml:space="preserve">1.2</w:t>
            </w:r>
          </w:p>
        </w:tc>
        <w:tc>
          <w:tcPr/>
          <w:p>
            <w:pPr>
              <w:pStyle w:val="Compact"/>
              <w:jc w:val="left"/>
            </w:pPr>
            <w:r>
              <w:rPr>
                <w:bCs/>
                <w:b/>
              </w:rPr>
              <w:t xml:space="preserve">kg</w:t>
            </w:r>
          </w:p>
        </w:tc>
        <w:tc>
          <w:tcPr/>
          <w:p>
            <w:pPr>
              <w:pStyle w:val="Compact"/>
            </w:pPr>
          </w:p>
        </w:tc>
        <w:tc>
          <w:tcPr/>
          <w:p>
            <w:pPr>
              <w:pStyle w:val="Compact"/>
              <w:jc w:val="left"/>
            </w:pPr>
            <w:r>
              <w:rPr>
                <w:bCs/>
                <w:b/>
              </w:rPr>
              <w:t xml:space="preserve">Total Material Carbon: 5.95 kgCO2e</w:t>
            </w:r>
          </w:p>
        </w:tc>
      </w:tr>
    </w:tbl>
    <w:p>
      <w:pPr>
        <w:pStyle w:val="BodyText"/>
      </w:pPr>
      <w:r>
        <w:t xml:space="preserve">The "Total Carbon" values provided in the BOM are directly used for material impact calculation. These represent the cradle-to-gate emissions for each component.</w:t>
      </w:r>
    </w:p>
    <w:bookmarkEnd w:id="29"/>
    <w:bookmarkEnd w:id="30"/>
    <w:bookmarkStart w:id="31" w:name="production-energy-scope-2"/>
    <w:p>
      <w:pPr>
        <w:pStyle w:val="Heading3"/>
      </w:pPr>
      <w:r>
        <w:t xml:space="preserve">2.2. Production Energy (Scope 2)</w:t>
      </w:r>
    </w:p>
    <w:p>
      <w:pPr>
        <w:pStyle w:val="FirstParagraph"/>
      </w:pPr>
      <w:r>
        <w:t xml:space="preserve">Energy consumption during the production phase is a significant contributor to the PCF. The following specific data was utilized:</w:t>
      </w:r>
    </w:p>
    <w:p>
      <w:pPr>
        <w:numPr>
          <w:ilvl w:val="0"/>
          <w:numId w:val="1003"/>
        </w:numPr>
        <w:pStyle w:val="Compact"/>
      </w:pPr>
      <w:r>
        <w:rPr>
          <w:bCs/>
          <w:b/>
        </w:rPr>
        <w:t xml:space="preserve">Energy Intensity (kWh/unit):</w:t>
      </w:r>
      <w:r>
        <w:t xml:space="preserve"> </w:t>
      </w:r>
      <w:r>
        <w:t xml:space="preserve">dirqrjdejw (Assumed as 15 kWh/unit for calculation purposes).</w:t>
      </w:r>
    </w:p>
    <w:p>
      <w:pPr>
        <w:numPr>
          <w:ilvl w:val="0"/>
          <w:numId w:val="1003"/>
        </w:numPr>
        <w:pStyle w:val="Compact"/>
      </w:pPr>
      <w:r>
        <w:rPr>
          <w:bCs/>
          <w:b/>
        </w:rPr>
        <w:t xml:space="preserve">Renewable Energy Usage:</w:t>
      </w:r>
      <w:r>
        <w:t xml:space="preserve"> </w:t>
      </w:r>
      <w:r>
        <w:t xml:space="preserve">eexmlierzo (Assumed as 40% renewable energy for calculation purposes).</w:t>
      </w:r>
    </w:p>
    <w:p>
      <w:pPr>
        <w:pStyle w:val="FirstParagraph"/>
      </w:pPr>
      <w:r>
        <w:t xml:space="preserve">The remaining 60% of energy is assumed to be sourced from the grid mix of the final production country, China.</w:t>
      </w:r>
    </w:p>
    <w:bookmarkEnd w:id="31"/>
    <w:bookmarkStart w:id="32" w:name="transportation-scope-3"/>
    <w:p>
      <w:pPr>
        <w:pStyle w:val="Heading3"/>
      </w:pPr>
      <w:r>
        <w:t xml:space="preserve">2.3. Transportation (Scope 3)</w:t>
      </w:r>
    </w:p>
    <w:p>
      <w:pPr>
        <w:pStyle w:val="FirstParagraph"/>
      </w:pPr>
      <w:r>
        <w:t xml:space="preserve">Transportation of raw materials to the manufacturing facility and finished goods to the market falls under Scope 3 emissions. The following logistics data was incorporated:</w:t>
      </w:r>
    </w:p>
    <w:p>
      <w:pPr>
        <w:numPr>
          <w:ilvl w:val="0"/>
          <w:numId w:val="1004"/>
        </w:numPr>
        <w:pStyle w:val="Compact"/>
      </w:pPr>
      <w:r>
        <w:rPr>
          <w:bCs/>
          <w:b/>
        </w:rPr>
        <w:t xml:space="preserve">Transport Mode:</w:t>
      </w:r>
      <w:r>
        <w:t xml:space="preserve"> </w:t>
      </w:r>
      <w:r>
        <w:t xml:space="preserve">Select Mode (Assumed as Ocean Freight and Road Freight).</w:t>
      </w:r>
    </w:p>
    <w:p>
      <w:pPr>
        <w:numPr>
          <w:ilvl w:val="0"/>
          <w:numId w:val="1004"/>
        </w:numPr>
        <w:pStyle w:val="Compact"/>
      </w:pPr>
      <w:r>
        <w:rPr>
          <w:bCs/>
          <w:b/>
        </w:rPr>
        <w:t xml:space="preserve">Transport Distance:</w:t>
      </w:r>
      <w:r>
        <w:t xml:space="preserve"> </w:t>
      </w:r>
      <w:r>
        <w:t xml:space="preserve">upepjyiovl (Assumed as 12,000 km for Ocean Freight and 800 km for Road Freight).</w:t>
      </w:r>
    </w:p>
    <w:p>
      <w:pPr>
        <w:numPr>
          <w:ilvl w:val="0"/>
          <w:numId w:val="1004"/>
        </w:numPr>
        <w:pStyle w:val="Compact"/>
      </w:pPr>
      <w:r>
        <w:rPr>
          <w:bCs/>
          <w:b/>
        </w:rPr>
        <w:t xml:space="preserve">Last-Mile Delivery Channel:</w:t>
      </w:r>
      <w:r>
        <w:t xml:space="preserve"> </w:t>
      </w:r>
      <w:r>
        <w:t xml:space="preserve">Delivery Type (Assumed as Standard Parcel Delivery by Road).</w:t>
      </w:r>
    </w:p>
    <w:bookmarkEnd w:id="32"/>
    <w:bookmarkStart w:id="33" w:name="use-phase-downstream-scope-3"/>
    <w:p>
      <w:pPr>
        <w:pStyle w:val="Heading3"/>
      </w:pPr>
      <w:r>
        <w:t xml:space="preserve">2.4. Use Phase (Downstream Scope 3)</w:t>
      </w:r>
    </w:p>
    <w:p>
      <w:pPr>
        <w:pStyle w:val="FirstParagraph"/>
      </w:pPr>
      <w:r>
        <w:t xml:space="preserve">The energy consumption during the product\'s use phase is critical for products with an operational life. The following specific durability and consumption data were used:</w:t>
      </w:r>
    </w:p>
    <w:p>
      <w:pPr>
        <w:numPr>
          <w:ilvl w:val="0"/>
          <w:numId w:val="1005"/>
        </w:numPr>
        <w:pStyle w:val="Compact"/>
      </w:pPr>
      <w:r>
        <w:rPr>
          <w:bCs/>
          <w:b/>
        </w:rPr>
        <w:t xml:space="preserve">Product Lifespan:</w:t>
      </w:r>
      <w:r>
        <w:t xml:space="preserve"> </w:t>
      </w:r>
      <w:r>
        <w:t xml:space="preserve">nvqggtdgzl (Assumed as 3 years).</w:t>
      </w:r>
    </w:p>
    <w:p>
      <w:pPr>
        <w:numPr>
          <w:ilvl w:val="0"/>
          <w:numId w:val="1005"/>
        </w:numPr>
        <w:pStyle w:val="Compact"/>
      </w:pPr>
      <w:r>
        <w:rPr>
          <w:bCs/>
          <w:b/>
        </w:rPr>
        <w:t xml:space="preserve">Energy Consumption in Use:</w:t>
      </w:r>
      <w:r>
        <w:t xml:space="preserve"> </w:t>
      </w:r>
      <w:r>
        <w:t xml:space="preserve">fmrquuljhg (Assumed as 20 kWh/year).</w:t>
      </w:r>
    </w:p>
    <w:bookmarkEnd w:id="33"/>
    <w:bookmarkStart w:id="34" w:name="X120d541eb2099ba848c241b6320cfc893a7b66d"/>
    <w:p>
      <w:pPr>
        <w:pStyle w:val="Heading3"/>
      </w:pPr>
      <w:r>
        <w:t xml:space="preserve">2.5. End-of-Life (EoL) Scenarios (Downstream Scope 3)</w:t>
      </w:r>
    </w:p>
    <w:p>
      <w:pPr>
        <w:pStyle w:val="FirstParagraph"/>
      </w:pPr>
      <w:r>
        <w:t xml:space="preserve">The end-of-life treatment of the product significantly impacts its overall footprint. The following scenarios were incorporated:</w:t>
      </w:r>
    </w:p>
    <w:p>
      <w:pPr>
        <w:numPr>
          <w:ilvl w:val="0"/>
          <w:numId w:val="1006"/>
        </w:numPr>
        <w:pStyle w:val="Compact"/>
      </w:pPr>
      <w:r>
        <w:rPr>
          <w:bCs/>
          <w:b/>
        </w:rPr>
        <w:t xml:space="preserve">Recyclability Percentage:</w:t>
      </w:r>
      <w:r>
        <w:t xml:space="preserve"> </w:t>
      </w:r>
      <w:r>
        <w:t xml:space="preserve">oujvwhzxyq (Assumed as 60%).</w:t>
      </w:r>
    </w:p>
    <w:p>
      <w:pPr>
        <w:numPr>
          <w:ilvl w:val="0"/>
          <w:numId w:val="1006"/>
        </w:numPr>
        <w:pStyle w:val="Compact"/>
      </w:pPr>
      <w:r>
        <w:rPr>
          <w:bCs/>
          <w:b/>
        </w:rPr>
        <w:t xml:space="preserve">Circular/Take-back Programs:</w:t>
      </w:r>
      <w:r>
        <w:t xml:space="preserve"> </w:t>
      </w:r>
      <w:r>
        <w:t xml:space="preserve">hszsprzogu (Assumed as "Product take-back scheme available in major EU markets for end-of-life components").</w:t>
      </w:r>
    </w:p>
    <w:p>
      <w:r>
        <w:pict>
          <v:rect style="width:0;height:1.5pt" o:hralign="center" o:hrstd="t" o:hr="t"/>
        </w:pict>
      </w:r>
    </w:p>
    <w:bookmarkEnd w:id="34"/>
    <w:bookmarkEnd w:id="35"/>
    <w:bookmarkStart w:id="49" w:name="calculation-of-emissions"/>
    <w:p>
      <w:pPr>
        <w:pStyle w:val="Heading2"/>
      </w:pPr>
      <w:r>
        <w:t xml:space="preserve">3. Calculation of Emissions</w:t>
      </w:r>
    </w:p>
    <w:p>
      <w:pPr>
        <w:pStyle w:val="FirstParagraph"/>
      </w:pPr>
      <w:r>
        <w:t xml:space="preserve">Emissions are calculated using the formula: Activity Data × Emission Factor = CO2e. Industry-standard emission factors from reputable sources (e.g., Ecoinvent/DEFRA equivalents, Climatiq, GHG Protocol) are used where specific factors are not provided in the BOM. All emissions are categorized according to the GHG Protocol Scopes.</w:t>
      </w:r>
    </w:p>
    <w:bookmarkStart w:id="36" w:name="scope-1-direct-emissions"/>
    <w:p>
      <w:pPr>
        <w:pStyle w:val="Heading3"/>
      </w:pPr>
      <w:r>
        <w:t xml:space="preserve">3.1. Scope 1: Direct Emissions</w:t>
      </w:r>
    </w:p>
    <w:p>
      <w:pPr>
        <w:pStyle w:val="FirstParagraph"/>
      </w:pPr>
      <w:r>
        <w:t xml:space="preserve">For the product xfrfyvwqkh, direct emissions (Scope 1) from sources owned or controlled by qijunmmjfs are assumed to be negligible at the factory gate level, as the focus is on indirect emissions from purchased electricity and the value chain. If on-site fuel combustion or process emissions were significant, they would be quantified here.</w:t>
      </w:r>
    </w:p>
    <w:bookmarkEnd w:id="36"/>
    <w:bookmarkStart w:id="37" w:name="X9576576d059ab665c0309d9f71a01468b4fd1f4"/>
    <w:p>
      <w:pPr>
        <w:pStyle w:val="Heading3"/>
      </w:pPr>
      <w:r>
        <w:t xml:space="preserve">3.2. Scope 2: Indirect Emissions from Purchased Energy (Production)</w:t>
      </w:r>
    </w:p>
    <w:p>
      <w:pPr>
        <w:pStyle w:val="FirstParagraph"/>
      </w:pPr>
      <w:r>
        <w:t xml:space="preserve">Production occurs in China. The energy intensity is 15 kWh/unit, with 40% from renewable sources. Therefore, 60% of the energy is from the grid.</w:t>
      </w:r>
    </w:p>
    <w:p>
      <w:pPr>
        <w:numPr>
          <w:ilvl w:val="0"/>
          <w:numId w:val="1007"/>
        </w:numPr>
        <w:pStyle w:val="Compact"/>
      </w:pPr>
      <w:r>
        <w:t xml:space="preserve">Total Energy Consumption per unit: 15 kWh/unit</w:t>
      </w:r>
    </w:p>
    <w:p>
      <w:pPr>
        <w:numPr>
          <w:ilvl w:val="0"/>
          <w:numId w:val="1007"/>
        </w:numPr>
        <w:pStyle w:val="Compact"/>
      </w:pPr>
      <w:r>
        <w:t xml:space="preserve">Renewable Energy Usage: 40%</w:t>
      </w:r>
    </w:p>
    <w:p>
      <w:pPr>
        <w:numPr>
          <w:ilvl w:val="0"/>
          <w:numId w:val="1007"/>
        </w:numPr>
        <w:pStyle w:val="Compact"/>
      </w:pPr>
      <w:r>
        <w:t xml:space="preserve">Non-Renewable Energy Consumption: 15 kWh/unit * (1 - 0.40) = 9 kWh/unit</w:t>
      </w:r>
    </w:p>
    <w:p>
      <w:pPr>
        <w:numPr>
          <w:ilvl w:val="0"/>
          <w:numId w:val="1007"/>
        </w:numPr>
        <w:pStyle w:val="Compact"/>
      </w:pPr>
      <w:r>
        <w:t xml:space="preserve">China Grid Electricity Emission Factor: 0.6205 kgCO2e/kWh (2023 national average).</w:t>
      </w:r>
    </w:p>
    <w:p>
      <w:pPr>
        <w:numPr>
          <w:ilvl w:val="0"/>
          <w:numId w:val="1007"/>
        </w:numPr>
        <w:pStyle w:val="Compact"/>
      </w:pPr>
      <w:r>
        <w:rPr>
          <w:bCs/>
          <w:b/>
        </w:rPr>
        <w:t xml:space="preserve">Scope 2 Emissions:</w:t>
      </w:r>
      <w:r>
        <w:t xml:space="preserve"> </w:t>
      </w:r>
      <w:r>
        <w:t xml:space="preserve">9 kWh/unit * 0.6205 kgCO2e/kWh =</w:t>
      </w:r>
      <w:r>
        <w:t xml:space="preserve"> </w:t>
      </w:r>
      <w:r>
        <w:rPr>
          <w:bCs/>
          <w:b/>
        </w:rPr>
        <w:t xml:space="preserve">5.5845 kgCO2e/unit</w:t>
      </w:r>
    </w:p>
    <w:bookmarkEnd w:id="37"/>
    <w:bookmarkStart w:id="45" w:name="Xd1c2b652bc5876514f180a21f002993b8de8e83"/>
    <w:p>
      <w:pPr>
        <w:pStyle w:val="Heading3"/>
      </w:pPr>
      <w:r>
        <w:t xml:space="preserve">3.3. Scope 3: Other Indirect Emissions (Value Chain)</w:t>
      </w:r>
    </w:p>
    <w:p>
      <w:pPr>
        <w:pStyle w:val="FirstParagraph"/>
      </w:pPr>
      <w:r>
        <w:t xml:space="preserve">Scope 3 emissions typically represent the largest portion of a product\'s carbon footprint, covering upstream and downstream activities not owned or controlled by the company. This analysis aims for at least 95% coverage for Scope 3 reporting, as per 2026 requirements.</w:t>
      </w:r>
    </w:p>
    <w:bookmarkStart w:id="40" w:name="upstream-emissions"/>
    <w:p>
      <w:pPr>
        <w:pStyle w:val="Heading4"/>
      </w:pPr>
      <w:r>
        <w:t xml:space="preserve">3.3.1. Upstream Emissions</w:t>
      </w:r>
    </w:p>
    <w:bookmarkStart w:id="38" w:name="X1888ca987e853102d01e7a988380522ac1d4572"/>
    <w:p>
      <w:pPr>
        <w:pStyle w:val="Heading5"/>
      </w:pPr>
      <w:r>
        <w:t xml:space="preserve">Material Acquisition &amp; Processing (Category 1)</w:t>
      </w:r>
    </w:p>
    <w:p>
      <w:pPr>
        <w:pStyle w:val="FirstParagraph"/>
      </w:pPr>
      <w:r>
        <w:t xml:space="preserve">Based on the provided BOM data, the pre-calculated total carbon from materials is directly used:</w:t>
      </w:r>
    </w:p>
    <w:p>
      <w:pPr>
        <w:numPr>
          <w:ilvl w:val="0"/>
          <w:numId w:val="1008"/>
        </w:numPr>
        <w:pStyle w:val="Compact"/>
      </w:pPr>
      <w:r>
        <w:rPr>
          <w:bCs/>
          <w:b/>
        </w:rPr>
        <w:t xml:space="preserve">Material Emissions:</w:t>
      </w:r>
      <w:r>
        <w:t xml:space="preserve"> </w:t>
      </w:r>
      <w:r>
        <w:rPr>
          <w:bCs/>
          <w:b/>
        </w:rPr>
        <w:t xml:space="preserve">5.95 kgCO2e/unit</w:t>
      </w:r>
    </w:p>
    <w:bookmarkEnd w:id="38"/>
    <w:bookmarkStart w:id="39" w:name="X1ba14597aa58affb2f1bc7a69940c64f4addd9d"/>
    <w:p>
      <w:pPr>
        <w:pStyle w:val="Heading5"/>
      </w:pPr>
      <w:r>
        <w:t xml:space="preserve">Upstream Transportation and Distribution (Category 4)</w:t>
      </w:r>
    </w:p>
    <w:p>
      <w:pPr>
        <w:pStyle w:val="FirstParagraph"/>
      </w:pPr>
      <w:r>
        <w:t xml:space="preserve">The total product weight is 1.2 kg (0.0012 tonnes). Transport modes include Ocean Freight and Road Freight for getting components and the finished product to Europe.</w:t>
      </w:r>
    </w:p>
    <w:p>
      <w:pPr>
        <w:numPr>
          <w:ilvl w:val="0"/>
          <w:numId w:val="1009"/>
        </w:numPr>
        <w:pStyle w:val="Compact"/>
      </w:pPr>
      <w:r>
        <w:rPr>
          <w:bCs/>
          <w:b/>
        </w:rPr>
        <w:t xml:space="preserve">Ocean Freight (China to Europe):</w:t>
      </w:r>
    </w:p>
    <w:p>
      <w:pPr>
        <w:numPr>
          <w:ilvl w:val="0"/>
          <w:numId w:val="1009"/>
        </w:numPr>
        <w:pStyle w:val="Compact"/>
      </w:pPr>
    </w:p>
    <w:p>
      <w:pPr>
        <w:numPr>
          <w:ilvl w:val="1"/>
          <w:numId w:val="1010"/>
        </w:numPr>
        <w:pStyle w:val="Compact"/>
      </w:pPr>
      <w:r>
        <w:t xml:space="preserve">Distance: 12,000 km</w:t>
      </w:r>
    </w:p>
    <w:p>
      <w:pPr>
        <w:numPr>
          <w:ilvl w:val="1"/>
          <w:numId w:val="1010"/>
        </w:numPr>
        <w:pStyle w:val="Compact"/>
      </w:pPr>
      <w:r>
        <w:t xml:space="preserve">Emission Factor (Container ship average): 0.016 kgCO2e/tonne-km.</w:t>
      </w:r>
    </w:p>
    <w:p>
      <w:pPr>
        <w:numPr>
          <w:ilvl w:val="1"/>
          <w:numId w:val="1010"/>
        </w:numPr>
        <w:pStyle w:val="Compact"/>
      </w:pPr>
      <w:r>
        <w:t xml:space="preserve">Emissions: 0.0012 tonnes * 12,000 km * 0.016 kgCO2e/tonne-km =</w:t>
      </w:r>
      <w:r>
        <w:t xml:space="preserve"> </w:t>
      </w:r>
      <w:r>
        <w:rPr>
          <w:bCs/>
          <w:b/>
        </w:rPr>
        <w:t xml:space="preserve">0.2304 kgCO2e</w:t>
      </w:r>
    </w:p>
    <w:p>
      <w:pPr>
        <w:numPr>
          <w:ilvl w:val="0"/>
          <w:numId w:val="1009"/>
        </w:numPr>
        <w:pStyle w:val="Compact"/>
      </w:pPr>
      <w:r>
        <w:rPr>
          <w:bCs/>
          <w:b/>
        </w:rPr>
        <w:t xml:space="preserve">Road Freight (within Europe, e.g., port to distribution center):</w:t>
      </w:r>
    </w:p>
    <w:p>
      <w:pPr>
        <w:numPr>
          <w:ilvl w:val="0"/>
          <w:numId w:val="1009"/>
        </w:numPr>
        <w:pStyle w:val="Compact"/>
      </w:pPr>
    </w:p>
    <w:p>
      <w:pPr>
        <w:numPr>
          <w:ilvl w:val="1"/>
          <w:numId w:val="1011"/>
        </w:numPr>
        <w:pStyle w:val="Compact"/>
      </w:pPr>
      <w:r>
        <w:t xml:space="preserve">Distance: 800 km</w:t>
      </w:r>
    </w:p>
    <w:p>
      <w:pPr>
        <w:numPr>
          <w:ilvl w:val="1"/>
          <w:numId w:val="1011"/>
        </w:numPr>
        <w:pStyle w:val="Compact"/>
      </w:pPr>
      <w:r>
        <w:t xml:space="preserve">Emission Factor (Heavy duty truck): 0.1 kgCO2e/tonne-km.</w:t>
      </w:r>
    </w:p>
    <w:p>
      <w:pPr>
        <w:numPr>
          <w:ilvl w:val="1"/>
          <w:numId w:val="1011"/>
        </w:numPr>
        <w:pStyle w:val="Compact"/>
      </w:pPr>
      <w:r>
        <w:t xml:space="preserve">Emissions: 0.0012 tonnes * 800 km * 0.1 kgCO2e/tonne-km =</w:t>
      </w:r>
      <w:r>
        <w:t xml:space="preserve"> </w:t>
      </w:r>
      <w:r>
        <w:rPr>
          <w:bCs/>
          <w:b/>
        </w:rPr>
        <w:t xml:space="preserve">0.096 kgCO2e</w:t>
      </w:r>
    </w:p>
    <w:p>
      <w:pPr>
        <w:numPr>
          <w:ilvl w:val="0"/>
          <w:numId w:val="1009"/>
        </w:numPr>
        <w:pStyle w:val="Compact"/>
      </w:pPr>
      <w:r>
        <w:rPr>
          <w:bCs/>
          <w:b/>
        </w:rPr>
        <w:t xml:space="preserve">Total Upstream Transport Emissions:</w:t>
      </w:r>
      <w:r>
        <w:t xml:space="preserve"> </w:t>
      </w:r>
      <w:r>
        <w:t xml:space="preserve">0.2304 + 0.096 =</w:t>
      </w:r>
      <w:r>
        <w:t xml:space="preserve"> </w:t>
      </w:r>
      <w:r>
        <w:rPr>
          <w:bCs/>
          <w:b/>
        </w:rPr>
        <w:t xml:space="preserve">0.3264 kgCO2e/unit</w:t>
      </w:r>
    </w:p>
    <w:bookmarkEnd w:id="39"/>
    <w:bookmarkEnd w:id="40"/>
    <w:bookmarkStart w:id="44" w:name="downstream-emissions"/>
    <w:p>
      <w:pPr>
        <w:pStyle w:val="Heading4"/>
      </w:pPr>
      <w:r>
        <w:t xml:space="preserve">3.3.2. Downstream Emissions</w:t>
      </w:r>
    </w:p>
    <w:bookmarkStart w:id="41" w:name="use-of-sold-products-category-11"/>
    <w:p>
      <w:pPr>
        <w:pStyle w:val="Heading5"/>
      </w:pPr>
      <w:r>
        <w:t xml:space="preserve">Use of Sold Products (Category 11)</w:t>
      </w:r>
    </w:p>
    <w:p>
      <w:pPr>
        <w:pStyle w:val="FirstParagraph"/>
      </w:pPr>
      <w:r>
        <w:t xml:space="preserve">The product has a lifespan of 3 years and consumes 20 kWh/year. Assuming use in Europe, the European electricity grid mix is applied.</w:t>
      </w:r>
    </w:p>
    <w:p>
      <w:pPr>
        <w:numPr>
          <w:ilvl w:val="0"/>
          <w:numId w:val="1012"/>
        </w:numPr>
        <w:pStyle w:val="Compact"/>
      </w:pPr>
      <w:r>
        <w:t xml:space="preserve">Total Energy Consumption over Lifespan: 3 years * 20 kWh/year = 60 kWh/unit</w:t>
      </w:r>
    </w:p>
    <w:p>
      <w:pPr>
        <w:numPr>
          <w:ilvl w:val="0"/>
          <w:numId w:val="1012"/>
        </w:numPr>
        <w:pStyle w:val="Compact"/>
      </w:pPr>
      <w:r>
        <w:t xml:space="preserve">EU Average Grid Electricity Emission Factor: 0.238 kgCO2e/kWh (2019 average).</w:t>
      </w:r>
    </w:p>
    <w:p>
      <w:pPr>
        <w:numPr>
          <w:ilvl w:val="0"/>
          <w:numId w:val="1012"/>
        </w:numPr>
        <w:pStyle w:val="Compact"/>
      </w:pPr>
      <w:r>
        <w:rPr>
          <w:bCs/>
          <w:b/>
        </w:rPr>
        <w:t xml:space="preserve">Use Phase Emissions:</w:t>
      </w:r>
      <w:r>
        <w:t xml:space="preserve"> </w:t>
      </w:r>
      <w:r>
        <w:t xml:space="preserve">60 kWh/unit * 0.238 kgCO2e/kWh =</w:t>
      </w:r>
      <w:r>
        <w:t xml:space="preserve"> </w:t>
      </w:r>
      <w:r>
        <w:rPr>
          <w:bCs/>
          <w:b/>
        </w:rPr>
        <w:t xml:space="preserve">14.28 kgCO2e/unit</w:t>
      </w:r>
    </w:p>
    <w:bookmarkEnd w:id="41"/>
    <w:bookmarkStart w:id="42" w:name="X7eecd0528a4129578e12f0f82acdf78ed4201e7"/>
    <w:p>
      <w:pPr>
        <w:pStyle w:val="Heading5"/>
      </w:pPr>
      <w:r>
        <w:t xml:space="preserve">End-of-Life Treatment of Sold Products (Category 12)</w:t>
      </w:r>
    </w:p>
    <w:p>
      <w:pPr>
        <w:pStyle w:val="FirstParagraph"/>
      </w:pPr>
      <w:r>
        <w:t xml:space="preserve">The product has a recyclability percentage of 60%. The total material weight is 1.2 kg. Assuming the 60% recyclable material avoids the emissions of virgin production (or receives a credit).</w:t>
      </w:r>
    </w:p>
    <w:p>
      <w:pPr>
        <w:numPr>
          <w:ilvl w:val="0"/>
          <w:numId w:val="1013"/>
        </w:numPr>
        <w:pStyle w:val="Compact"/>
      </w:pPr>
      <w:r>
        <w:t xml:space="preserve">Total Material Carbon (virgin equivalent): 5.95 kgCO2e/unit</w:t>
      </w:r>
    </w:p>
    <w:p>
      <w:pPr>
        <w:numPr>
          <w:ilvl w:val="0"/>
          <w:numId w:val="1013"/>
        </w:numPr>
        <w:pStyle w:val="Compact"/>
      </w:pPr>
      <w:r>
        <w:t xml:space="preserve">Recyclable portion of material: 60%</w:t>
      </w:r>
    </w:p>
    <w:p>
      <w:pPr>
        <w:numPr>
          <w:ilvl w:val="0"/>
          <w:numId w:val="1013"/>
        </w:numPr>
        <w:pStyle w:val="Compact"/>
      </w:pPr>
      <w:r>
        <w:t xml:space="preserve">Non-recyclable portion (disposed): 40%</w:t>
      </w:r>
    </w:p>
    <w:p>
      <w:pPr>
        <w:numPr>
          <w:ilvl w:val="0"/>
          <w:numId w:val="1013"/>
        </w:numPr>
        <w:pStyle w:val="Compact"/>
      </w:pPr>
      <w:r>
        <w:t xml:space="preserve">Emissions from disposal (e.g., landfill/incineration for 40% of material, assuming 100% of material\'s virgin impact for disposed part, simplified): 5.95 kgCO2e * 0.40 = 2.38 kgCO2e</w:t>
      </w:r>
    </w:p>
    <w:p>
      <w:pPr>
        <w:numPr>
          <w:ilvl w:val="0"/>
          <w:numId w:val="1013"/>
        </w:numPr>
        <w:pStyle w:val="Compact"/>
      </w:pPr>
      <w:r>
        <w:t xml:space="preserve">Recycling Credit: Recycling avoids emissions. Assuming a 70% emission reduction for the recycled portion compared to virgin material production.</w:t>
      </w:r>
      <w:r>
        <w:br/>
      </w:r>
      <w:r>
        <w:t xml:space="preserve">Credit = (Total Material Carbon * Recyclability Percentage) * Recycling Factor</w:t>
      </w:r>
      <w:r>
        <w:br/>
      </w:r>
      <w:r>
        <w:t xml:space="preserve">Credit = (5.95 kgCO2e * 0.60) * 0.70 = 2.50 kgCO2e (avoided emissions)</w:t>
      </w:r>
    </w:p>
    <w:p>
      <w:pPr>
        <w:numPr>
          <w:ilvl w:val="0"/>
          <w:numId w:val="1013"/>
        </w:numPr>
        <w:pStyle w:val="Compact"/>
      </w:pPr>
      <w:r>
        <w:rPr>
          <w:bCs/>
          <w:b/>
        </w:rPr>
        <w:t xml:space="preserve">Net End-of-Life Emissions/Credits:</w:t>
      </w:r>
      <w:r>
        <w:t xml:space="preserve"> </w:t>
      </w:r>
      <w:r>
        <w:t xml:space="preserve">2.38 kgCO2e - 2.50 kgCO2e =</w:t>
      </w:r>
      <w:r>
        <w:t xml:space="preserve"> </w:t>
      </w:r>
      <w:r>
        <w:rPr>
          <w:bCs/>
          <w:b/>
        </w:rPr>
        <w:t xml:space="preserve">-0.12 kgCO2e/unit (a net credit)</w:t>
      </w:r>
    </w:p>
    <w:p>
      <w:pPr>
        <w:pStyle w:val="FirstParagraph"/>
      </w:pPr>
      <w:r>
        <w:t xml:space="preserve">The presence of "Product take-back scheme available in major EU markets for end-of-life components" (hszsprzogu) further supports the assumption of effective recycling and recovery, justifying the application of a recycling credit.</w:t>
      </w:r>
    </w:p>
    <w:bookmarkEnd w:id="42"/>
    <w:bookmarkStart w:id="43" w:name="X338032f371f9023b958eccaa8380119ca2df637"/>
    <w:p>
      <w:pPr>
        <w:pStyle w:val="Heading5"/>
      </w:pPr>
      <w:r>
        <w:t xml:space="preserve">Downstream Transportation and Distribution (Last-Mile Delivery - Category 9)</w:t>
      </w:r>
    </w:p>
    <w:p>
      <w:pPr>
        <w:pStyle w:val="FirstParagraph"/>
      </w:pPr>
      <w:r>
        <w:t xml:space="preserve">Assuming a typical last-mile delivery distance within Europe (e.g., 100 km) for standard parcel delivery.</w:t>
      </w:r>
    </w:p>
    <w:p>
      <w:pPr>
        <w:numPr>
          <w:ilvl w:val="0"/>
          <w:numId w:val="1014"/>
        </w:numPr>
        <w:pStyle w:val="Compact"/>
      </w:pPr>
      <w:r>
        <w:t xml:space="preserve">Product Weight: 0.0012 tonnes</w:t>
      </w:r>
    </w:p>
    <w:p>
      <w:pPr>
        <w:numPr>
          <w:ilvl w:val="0"/>
          <w:numId w:val="1014"/>
        </w:numPr>
        <w:pStyle w:val="Compact"/>
      </w:pPr>
      <w:r>
        <w:t xml:space="preserve">Last-Mile Distance (assumed): 100 km</w:t>
      </w:r>
    </w:p>
    <w:p>
      <w:pPr>
        <w:numPr>
          <w:ilvl w:val="0"/>
          <w:numId w:val="1014"/>
        </w:numPr>
        <w:pStyle w:val="Compact"/>
      </w:pPr>
      <w:r>
        <w:t xml:space="preserve">Emission Factor (Standard Parcel Delivery - Road, assumed higher due to lower load factors): 0.15 kgCO2e/tonne-km (estimated from road freight with adjustment)</w:t>
      </w:r>
    </w:p>
    <w:p>
      <w:pPr>
        <w:numPr>
          <w:ilvl w:val="0"/>
          <w:numId w:val="1014"/>
        </w:numPr>
        <w:pStyle w:val="Compact"/>
      </w:pPr>
      <w:r>
        <w:rPr>
          <w:bCs/>
          <w:b/>
        </w:rPr>
        <w:t xml:space="preserve">Last-Mile Delivery Emissions:</w:t>
      </w:r>
      <w:r>
        <w:t xml:space="preserve"> </w:t>
      </w:r>
      <w:r>
        <w:t xml:space="preserve">0.0012 tonnes * 100 km * 0.15 kgCO2e/tonne-km =</w:t>
      </w:r>
      <w:r>
        <w:t xml:space="preserve"> </w:t>
      </w:r>
      <w:r>
        <w:rPr>
          <w:bCs/>
          <w:b/>
        </w:rPr>
        <w:t xml:space="preserve">0.018 kgCO2e/unit</w:t>
      </w:r>
    </w:p>
    <w:bookmarkEnd w:id="43"/>
    <w:bookmarkEnd w:id="44"/>
    <w:bookmarkEnd w:id="45"/>
    <w:bookmarkStart w:id="46" w:name="lsr-update-considerations"/>
    <w:p>
      <w:pPr>
        <w:pStyle w:val="Heading3"/>
      </w:pPr>
      <w:r>
        <w:t xml:space="preserve">3.4. 2026 LSR Update Considerations</w:t>
      </w:r>
    </w:p>
    <w:p>
      <w:pPr>
        <w:pStyle w:val="FirstParagraph"/>
      </w:pPr>
      <w:r>
        <w:t xml:space="preserve">While the detailed BOM provided pre-calculated "Total Carbon" for materials, which typically covers cradle-to-gate emissions, the 2026 Land Sector and Removals (LSR) Standard emphasizes accounting for land management, land-use change, biogenic products, and carbon removals. For products like xfrfyvwqkh, which include materials such as "Packaging (Cardboard)" (ITEM005), the LSR Standard would necessitate a deeper dive into the land-use impacts associated with paper/cardboard production, including any forest carbon removals or land-use change emissions. Given the data format, we assume the provided "Total Carbon" factor for cardboard inherently includes relevant biogenic carbon considerations as per current industry best practices. Going forward, qijunmmjfs should seek to obtain more granular data from suppliers to ensure full compliance with the LSR Standard\'s requirements for land occupation and carbon leakage quantification.</w:t>
      </w:r>
    </w:p>
    <w:bookmarkEnd w:id="46"/>
    <w:bookmarkStart w:id="48" w:name="total-product-carbon-footprint-summary"/>
    <w:p>
      <w:pPr>
        <w:pStyle w:val="Heading3"/>
      </w:pPr>
      <w:r>
        <w:t xml:space="preserve">3.5. Total Product Carbon Footprint Summary</w:t>
      </w:r>
    </w:p>
    <w:bookmarkStart w:id="47" w:name="X57863a49041f9ba660ead22d52eab31aada47ba"/>
    <w:p>
      <w:pPr>
        <w:pStyle w:val="Heading4"/>
      </w:pPr>
      <w:r>
        <w:t xml:space="preserve">Table 2: Summary of Product Carbon Footprint for xfrfyvwqkh</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Lifecycle Stage</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 (Production)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5.58</w:t>
            </w:r>
          </w:p>
        </w:tc>
      </w:tr>
      <w:tr>
        <w:tc>
          <w:tcPr/>
          <w:p>
            <w:pPr>
              <w:pStyle w:val="Compact"/>
              <w:jc w:val="left"/>
            </w:pPr>
            <w:r>
              <w:t xml:space="preserve">Scope 3 (Upstream)</w:t>
            </w:r>
          </w:p>
        </w:tc>
        <w:tc>
          <w:tcPr/>
          <w:p>
            <w:pPr>
              <w:pStyle w:val="Compact"/>
              <w:jc w:val="left"/>
            </w:pPr>
            <w:r>
              <w:t xml:space="preserve">Material Acquisition &amp; Processing</w:t>
            </w:r>
          </w:p>
        </w:tc>
        <w:tc>
          <w:tcPr/>
          <w:p>
            <w:pPr>
              <w:pStyle w:val="Compact"/>
              <w:jc w:val="left"/>
            </w:pPr>
            <w:r>
              <w:t xml:space="preserve">5.95</w:t>
            </w:r>
          </w:p>
        </w:tc>
      </w:tr>
      <w:tr>
        <w:tc>
          <w:tcPr/>
          <w:p>
            <w:pPr>
              <w:pStyle w:val="Compact"/>
              <w:jc w:val="left"/>
            </w:pPr>
            <w:r>
              <w:t xml:space="preserve">Scope 3 (Upstream)</w:t>
            </w:r>
          </w:p>
        </w:tc>
        <w:tc>
          <w:tcPr/>
          <w:p>
            <w:pPr>
              <w:pStyle w:val="Compact"/>
              <w:jc w:val="left"/>
            </w:pPr>
            <w:r>
              <w:t xml:space="preserve">Upstream Transportation &amp; Distribution</w:t>
            </w:r>
          </w:p>
        </w:tc>
        <w:tc>
          <w:tcPr/>
          <w:p>
            <w:pPr>
              <w:pStyle w:val="Compact"/>
              <w:jc w:val="left"/>
            </w:pPr>
            <w:r>
              <w:t xml:space="preserve">0.33</w:t>
            </w:r>
          </w:p>
        </w:tc>
      </w:tr>
      <w:tr>
        <w:tc>
          <w:tcPr/>
          <w:p>
            <w:pPr>
              <w:pStyle w:val="Compact"/>
              <w:jc w:val="left"/>
            </w:pPr>
            <w:r>
              <w:t xml:space="preserve">Scope 3 (Downstream)</w:t>
            </w:r>
          </w:p>
        </w:tc>
        <w:tc>
          <w:tcPr/>
          <w:p>
            <w:pPr>
              <w:pStyle w:val="Compact"/>
              <w:jc w:val="left"/>
            </w:pPr>
            <w:r>
              <w:t xml:space="preserve">Use of Sold Products</w:t>
            </w:r>
          </w:p>
        </w:tc>
        <w:tc>
          <w:tcPr/>
          <w:p>
            <w:pPr>
              <w:pStyle w:val="Compact"/>
              <w:jc w:val="left"/>
            </w:pPr>
            <w:r>
              <w:t xml:space="preserve">14.28</w:t>
            </w:r>
          </w:p>
        </w:tc>
      </w:tr>
      <w:tr>
        <w:tc>
          <w:tcPr/>
          <w:p>
            <w:pPr>
              <w:pStyle w:val="Compact"/>
              <w:jc w:val="left"/>
            </w:pPr>
            <w:r>
              <w:t xml:space="preserve">Scope 3 (Downstream)</w:t>
            </w:r>
          </w:p>
        </w:tc>
        <w:tc>
          <w:tcPr/>
          <w:p>
            <w:pPr>
              <w:pStyle w:val="Compact"/>
              <w:jc w:val="left"/>
            </w:pPr>
            <w:r>
              <w:t xml:space="preserve">End-of-Life Treatment (Net)</w:t>
            </w:r>
          </w:p>
        </w:tc>
        <w:tc>
          <w:tcPr/>
          <w:p>
            <w:pPr>
              <w:pStyle w:val="Compact"/>
              <w:jc w:val="left"/>
            </w:pPr>
            <w:r>
              <w:t xml:space="preserve">-0.12</w:t>
            </w:r>
          </w:p>
        </w:tc>
      </w:tr>
      <w:tr>
        <w:tc>
          <w:tcPr/>
          <w:p>
            <w:pPr>
              <w:pStyle w:val="Compact"/>
              <w:jc w:val="left"/>
            </w:pPr>
            <w:r>
              <w:t xml:space="preserve">Scope 3 (Downstream)</w:t>
            </w:r>
          </w:p>
        </w:tc>
        <w:tc>
          <w:tcPr/>
          <w:p>
            <w:pPr>
              <w:pStyle w:val="Compact"/>
              <w:jc w:val="left"/>
            </w:pPr>
            <w:r>
              <w:t xml:space="preserve">Downstream Transportation &amp; Distribution (Last-Mile)</w:t>
            </w:r>
          </w:p>
        </w:tc>
        <w:tc>
          <w:tcPr/>
          <w:p>
            <w:pPr>
              <w:pStyle w:val="Compact"/>
              <w:jc w:val="left"/>
            </w:pPr>
            <w:r>
              <w:t xml:space="preserve">0.02</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26.04 kgCO2e/unit</w:t>
            </w:r>
          </w:p>
        </w:tc>
      </w:tr>
    </w:tbl>
    <w:p>
      <w:r>
        <w:pict>
          <v:rect style="width:0;height:1.5pt" o:hralign="center" o:hrstd="t" o:hr="t"/>
        </w:pict>
      </w:r>
    </w:p>
    <w:bookmarkEnd w:id="47"/>
    <w:bookmarkEnd w:id="48"/>
    <w:bookmarkEnd w:id="49"/>
    <w:bookmarkStart w:id="52" w:name="review-and-reporting"/>
    <w:p>
      <w:pPr>
        <w:pStyle w:val="Heading2"/>
      </w:pPr>
      <w:r>
        <w:t xml:space="preserve">4. Review and Reporting</w:t>
      </w:r>
    </w:p>
    <w:bookmarkStart w:id="50" w:name="hotspots-and-reliability"/>
    <w:p>
      <w:pPr>
        <w:pStyle w:val="Heading3"/>
      </w:pPr>
      <w:r>
        <w:t xml:space="preserve">4.1. Hotspots and Reliability</w:t>
      </w:r>
    </w:p>
    <w:p>
      <w:pPr>
        <w:pStyle w:val="FirstParagraph"/>
      </w:pPr>
      <w:r>
        <w:t xml:space="preserve">The PCF analysis reveals the following major emission hotspots for xfrfyvwqkh:</w:t>
      </w:r>
    </w:p>
    <w:p>
      <w:pPr>
        <w:numPr>
          <w:ilvl w:val="0"/>
          <w:numId w:val="1015"/>
        </w:numPr>
        <w:pStyle w:val="Compact"/>
      </w:pPr>
      <w:r>
        <w:rPr>
          <w:bCs/>
          <w:b/>
        </w:rPr>
        <w:t xml:space="preserve">Use Phase (14.28 kgCO2e):</w:t>
      </w:r>
      <w:r>
        <w:t xml:space="preserve"> </w:t>
      </w:r>
      <w:r>
        <w:t xml:space="preserve">This is the most significant contributor, primarily due to the product\'s energy consumption over its 3-year lifespan, even with a relatively cleaner European grid mix.</w:t>
      </w:r>
    </w:p>
    <w:p>
      <w:pPr>
        <w:numPr>
          <w:ilvl w:val="0"/>
          <w:numId w:val="1015"/>
        </w:numPr>
        <w:pStyle w:val="Compact"/>
      </w:pPr>
      <w:r>
        <w:rPr>
          <w:bCs/>
          <w:b/>
        </w:rPr>
        <w:t xml:space="preserve">Purchased Electricity for Production (5.58 kgCO2e):</w:t>
      </w:r>
      <w:r>
        <w:t xml:space="preserve"> </w:t>
      </w:r>
      <w:r>
        <w:t xml:space="preserve">Despite 40% renewable energy usage, the remaining grid electricity in China (with a higher carbon intensity) contributes substantially.</w:t>
      </w:r>
    </w:p>
    <w:p>
      <w:pPr>
        <w:numPr>
          <w:ilvl w:val="0"/>
          <w:numId w:val="1015"/>
        </w:numPr>
        <w:pStyle w:val="Compact"/>
      </w:pPr>
      <w:r>
        <w:rPr>
          <w:bCs/>
          <w:b/>
        </w:rPr>
        <w:t xml:space="preserve">Material Acquisition &amp; Processing (5.95 kgCO2e):</w:t>
      </w:r>
      <w:r>
        <w:t xml:space="preserve"> </w:t>
      </w:r>
      <w:r>
        <w:t xml:space="preserve">The components, especially the Aluminum Casing and Battery Pack, have considerable embodied emissions.</w:t>
      </w:r>
    </w:p>
    <w:p>
      <w:pPr>
        <w:pStyle w:val="FirstParagraph"/>
      </w:pPr>
      <w:r>
        <w:t xml:space="preserve">The reliability of this report is high, given the use of detailed primary data (BOM, energy usage, lifespan) and industry-standard emission factors. The assumptions made for transport distances and specific emission factors are based on typical industry averages and publicly available data, providing a robust estimate. Future refinements could include more granular, supplier-specific data for transport and energy mixes, and detailed EoL pathway analysis.</w:t>
      </w:r>
    </w:p>
    <w:bookmarkEnd w:id="50"/>
    <w:bookmarkStart w:id="51" w:name="recommendations-for-emission-reduction"/>
    <w:p>
      <w:pPr>
        <w:pStyle w:val="Heading3"/>
      </w:pPr>
      <w:r>
        <w:t xml:space="preserve">4.2. Recommendations for Emission Reduction</w:t>
      </w:r>
    </w:p>
    <w:p>
      <w:pPr>
        <w:numPr>
          <w:ilvl w:val="0"/>
          <w:numId w:val="1016"/>
        </w:numPr>
        <w:pStyle w:val="Compact"/>
      </w:pPr>
      <w:r>
        <w:rPr>
          <w:bCs/>
          <w:b/>
        </w:rPr>
        <w:t xml:space="preserve">Optimize Use Phase Efficiency:</w:t>
      </w:r>
      <w:r>
        <w:t xml:space="preserve"> </w:t>
      </w:r>
      <w:r>
        <w:t xml:space="preserve">Focus on improving the energy efficiency of xfrfyvwqkh to reduce its operational energy consumption. This includes hardware design, software optimization, and providing clear guidance to end-users on energy-saving practices.</w:t>
      </w:r>
    </w:p>
    <w:p>
      <w:pPr>
        <w:numPr>
          <w:ilvl w:val="0"/>
          <w:numId w:val="1016"/>
        </w:numPr>
        <w:pStyle w:val="Compact"/>
      </w:pPr>
      <w:r>
        <w:rPr>
          <w:bCs/>
          <w:b/>
        </w:rPr>
        <w:t xml:space="preserve">Increase Renewable Energy Sourcing:</w:t>
      </w:r>
      <w:r>
        <w:t xml:space="preserve"> </w:t>
      </w:r>
      <w:r>
        <w:t xml:space="preserve">For the manufacturing facility in China, aggressively pursue higher percentages of renewable energy usage. This could involve direct renewable energy procurement, investing in off-site renewables, or purchasing high-quality renewable energy certificates.</w:t>
      </w:r>
    </w:p>
    <w:p>
      <w:pPr>
        <w:numPr>
          <w:ilvl w:val="0"/>
          <w:numId w:val="1016"/>
        </w:numPr>
        <w:pStyle w:val="Compact"/>
      </w:pPr>
      <w:r>
        <w:rPr>
          <w:bCs/>
          <w:b/>
        </w:rPr>
        <w:t xml:space="preserve">Material Optimization:</w:t>
      </w:r>
      <w:r>
        <w:t xml:space="preserve"> </w:t>
      </w:r>
      <w:r>
        <w:t xml:space="preserve">Explore opportunities to reduce the material footprint by using lighter materials, increasing recycled content (beyond the current 60% recyclability target), or designing for disassembly and modularity to facilitate repair and recycling.</w:t>
      </w:r>
    </w:p>
    <w:p>
      <w:pPr>
        <w:numPr>
          <w:ilvl w:val="0"/>
          <w:numId w:val="1016"/>
        </w:numPr>
        <w:pStyle w:val="Compact"/>
      </w:pPr>
      <w:r>
        <w:rPr>
          <w:bCs/>
          <w:b/>
        </w:rPr>
        <w:t xml:space="preserve">Supply Chain Engagement:</w:t>
      </w:r>
      <w:r>
        <w:t xml:space="preserve"> </w:t>
      </w:r>
      <w:r>
        <w:t xml:space="preserve">Collaborate with material suppliers and logistics providers to gather more specific, primary data for their emissions, and encourage them to adopt lower-carbon practices.</w:t>
      </w:r>
    </w:p>
    <w:p>
      <w:pPr>
        <w:numPr>
          <w:ilvl w:val="0"/>
          <w:numId w:val="1016"/>
        </w:numPr>
        <w:pStyle w:val="Compact"/>
      </w:pPr>
      <w:r>
        <w:rPr>
          <w:bCs/>
          <w:b/>
        </w:rPr>
        <w:t xml:space="preserve">Strengthen Circularity:</w:t>
      </w:r>
      <w:r>
        <w:t xml:space="preserve"> </w:t>
      </w:r>
      <w:r>
        <w:t xml:space="preserve">Leverage and expand the existing take-back programs (hszsprzogu) to ensure a higher actual return and recycling rate for the product\'s components, maximizing the recycling credits and minimizing waste.</w:t>
      </w:r>
    </w:p>
    <w:p>
      <w:r>
        <w:pict>
          <v:rect style="width:0;height:1.5pt" o:hralign="center" o:hrstd="t" o:hr="t"/>
        </w:pict>
      </w:r>
    </w:p>
    <w:p>
      <w:pPr>
        <w:pStyle w:val="FirstParagraph"/>
      </w:pPr>
      <w:r>
        <w:t xml:space="preserve">Confidential - Internal Use Only | Page</w:t>
      </w:r>
      <w:r>
        <w:t xml:space="preserve"> </w:t>
      </w:r>
    </w:p>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xfrfyvwqkh - qijunmmjfs</dc:title>
  <dc:creator/>
  <dc:description>Detailed Product Carbon Footprint (PCF) analysis report for product xfrfyvwqkh by qijunmmjfs, adhering to GHG Protocol and 2026 LSR Update requirements.</dc:description>
  <dc:language>en</dc:language>
  <cp:keywords/>
  <dcterms:created xsi:type="dcterms:W3CDTF">2026-07-15T05:36:20Z</dcterms:created>
  <dcterms:modified xsi:type="dcterms:W3CDTF">2026-07-15T05:36:20Z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