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wzsuspssrg</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wzsuspssrg"/>
    <w:p>
      <w:pPr>
        <w:pStyle w:val="Heading2"/>
      </w:pPr>
      <w:r>
        <w:t xml:space="preserve">Product: wzsuspssrg</w:t>
      </w:r>
    </w:p>
    <w:p>
      <w:pPr>
        <w:pStyle w:val="FirstParagraph"/>
      </w:pPr>
      <w:r>
        <w:rPr>
          <w:bCs/>
          <w:b/>
        </w:rPr>
        <w:t xml:space="preserve">Company Name:</w:t>
      </w:r>
      <w:r>
        <w:t xml:space="preserve"> </w:t>
      </w:r>
      <w:r>
        <w:t xml:space="preserve">injjgzqywp</w:t>
      </w:r>
    </w:p>
    <w:p>
      <w:pPr>
        <w:pStyle w:val="BodyText"/>
      </w:pPr>
      <w:r>
        <w:rPr>
          <w:bCs/>
          <w:b/>
        </w:rPr>
        <w:t xml:space="preserve">Senior Sustainability Consultant:</w:t>
      </w:r>
      <w:r>
        <w:t xml:space="preserve"> </w:t>
      </w:r>
      <w:r>
        <w:t xml:space="preserve">onwkhgjfww</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assessment of the Product Carbon Footprint (PCF) for wzsuspssrg. Numerical values derived from placeholder inputs are illustrative.</w:t>
      </w:r>
    </w:p>
    <w:bookmarkEnd w:id="20"/>
    <w:bookmarkEnd w:id="21"/>
    <w:bookmarkStart w:id="35"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Wednesday, May 20,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wzsuspssrg</w:t>
      </w:r>
      <w:r>
        <w:t xml:space="preserve"> </w:t>
      </w:r>
      <w:r>
        <w:t xml:space="preserve">manufactured by</w:t>
      </w:r>
      <w:r>
        <w:t xml:space="preserve"> </w:t>
      </w:r>
      <w:r>
        <w:rPr>
          <w:bCs/>
          <w:b/>
        </w:rPr>
        <w:t xml:space="preserve">injjgzqywp</w:t>
      </w:r>
      <w:r>
        <w:t xml:space="preserve">. As</w:t>
      </w:r>
      <w:r>
        <w:t xml:space="preserve"> </w:t>
      </w:r>
      <w:r>
        <w:rPr>
          <w:bCs/>
          <w:b/>
        </w:rPr>
        <w:t xml:space="preserve">onwkhgjfww</w:t>
      </w:r>
      <w:r>
        <w:t xml:space="preserve">, Senior Sustainability Consultant specializing in GHG Protocol, this analysis adheres strictly to the GHG Protocol Product Life Cycle Accounting and Reporting Standard. The study adopts a cradle-to-gate system boundary, focusing on emissions from material acquisition through manufacturing processes, including inbound and outbound logistics, use phase, and end-of-life scenarios. The analysis incorporates the latest 2026 updates to the GHG Protocol, including the 95% Scope 3 completeness rule and considerations for the Land Sector and Removals (LSR) Standard. The total illustrative Product Carbon Footprint for one functional unit of wzsuspssrg is calculated to be approximately</w:t>
      </w:r>
      <w:r>
        <w:t xml:space="preserve"> </w:t>
      </w:r>
      <w:r>
        <w:rPr>
          <w:bCs/>
          <w:b/>
        </w:rPr>
        <w:t xml:space="preserve">60.35 kg CO2e</w:t>
      </w:r>
      <w:r>
        <w:t xml:space="preserve">. Hotspots are identified across the product lifecycle to inform strategic emissions reduction opportunities.</w:t>
      </w:r>
    </w:p>
    <w:p>
      <w:r>
        <w:pict>
          <v:rect style="width:0;height:1.5pt" o:hralign="center" o:hrstd="t" o:hr="t"/>
        </w:pict>
      </w:r>
    </w:p>
    <w:bookmarkEnd w:id="22"/>
    <w:bookmarkStart w:id="34" w:name="methodology"/>
    <w:p>
      <w:pPr>
        <w:pStyle w:val="Heading2"/>
      </w:pPr>
      <w:r>
        <w:t xml:space="preserve">Methodology</w:t>
      </w:r>
    </w:p>
    <w:p>
      <w:pPr>
        <w:pStyle w:val="FirstParagraph"/>
      </w:pPr>
      <w:r>
        <w:t xml:space="preserve">The Product Carbon Footprint (PCF) analysis for wzsuspssrg follows the five-step methodology prescribed by the GHG Protocol Product Standard, ensuring a comprehensive and standardized approach to greenhouse gas (GHG) accounting.</w:t>
      </w:r>
    </w:p>
    <w:bookmarkStart w:id="23"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study is defined as</w:t>
      </w:r>
      <w:r>
        <w:t xml:space="preserve"> </w:t>
      </w:r>
      <w:r>
        <w:rPr>
          <w:bCs/>
          <w:b/>
        </w:rPr>
        <w:t xml:space="preserve">1.0 unit</w:t>
      </w:r>
      <w:r>
        <w:t xml:space="preserve"> </w:t>
      </w:r>
      <w:r>
        <w:t xml:space="preserve">of wzsuspssrg. This serves as the reference basis for quantifying all relevant inputs and outputs throughout the product\'s lifecycle.</w:t>
      </w:r>
    </w:p>
    <w:p>
      <w:pPr>
        <w:numPr>
          <w:ilvl w:val="0"/>
          <w:numId w:val="1001"/>
        </w:numPr>
        <w:pStyle w:val="Compact"/>
      </w:pPr>
      <w:r>
        <w:rPr>
          <w:bCs/>
          <w:b/>
        </w:rPr>
        <w:t xml:space="preserve">System Boundary:</w:t>
      </w:r>
      <w:r>
        <w:t xml:space="preserve"> </w:t>
      </w:r>
      <w:r>
        <w:t xml:space="preserve">The analysis adheres to a</w:t>
      </w:r>
      <w:r>
        <w:t xml:space="preserve"> </w:t>
      </w:r>
      <w:r>
        <w:rPr>
          <w:bCs/>
          <w:b/>
        </w:rPr>
        <w:t xml:space="preserve">factory_gate</w:t>
      </w:r>
      <w:r>
        <w:t xml:space="preserve"> </w:t>
      </w:r>
      <w:r>
        <w:t xml:space="preserve">system boundary. This encompasses all processes from raw material extraction (cradle) up to the point where the finished product leaves the manufacturing facility (gate). Downstream stages, including transportation to the customer, product use, and end-of-life treatment, are also included in line with a comprehensive cradle-to-grave PCF, extending beyond the strict "factory gate" definition to cover the full lifecycle as specified by the overall PCF request.</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w:t>
      </w:r>
      <w:r>
        <w:t xml:space="preserve"> </w:t>
      </w:r>
      <w:r>
        <w:rPr>
          <w:bCs/>
          <w:b/>
        </w:rPr>
        <w:t xml:space="preserve">Europe Focused</w:t>
      </w:r>
      <w:r>
        <w:t xml:space="preserve"> </w:t>
      </w:r>
      <w:r>
        <w:t xml:space="preserve">supply chain. This means emission factors and energy mixes are selected to reflect these regions where applicable.</w:t>
      </w:r>
    </w:p>
    <w:p>
      <w:pPr>
        <w:numPr>
          <w:ilvl w:val="0"/>
          <w:numId w:val="1001"/>
        </w:numPr>
        <w:pStyle w:val="Compact"/>
      </w:pPr>
      <w:r>
        <w:rPr>
          <w:bCs/>
          <w:b/>
        </w:rPr>
        <w:t xml:space="preserve">Accounting Standard:</w:t>
      </w:r>
      <w:r>
        <w:t xml:space="preserve"> </w:t>
      </w:r>
      <w:r>
        <w:t xml:space="preserve">The entire analysis is compliant with the</w:t>
      </w:r>
      <w:r>
        <w:t xml:space="preserve"> </w:t>
      </w:r>
      <w:r>
        <w:rPr>
          <w:bCs/>
          <w:b/>
        </w:rPr>
        <w:t xml:space="preserve">GHG Protocol</w:t>
      </w:r>
      <w:r>
        <w:t xml:space="preserve">, specifically the Product Life Cycle Accounting and Reporting Standard.</w:t>
      </w:r>
    </w:p>
    <w:p>
      <w:pPr>
        <w:numPr>
          <w:ilvl w:val="0"/>
          <w:numId w:val="1001"/>
        </w:numPr>
        <w:pStyle w:val="Compact"/>
      </w:pPr>
      <w:r>
        <w:rPr>
          <w:bCs/>
          <w:b/>
        </w:rPr>
        <w:t xml:space="preserve">Allocation:</w:t>
      </w:r>
      <w:r>
        <w:t xml:space="preserve"> </w:t>
      </w:r>
      <w:r>
        <w:t xml:space="preserve">Where multi-output processes occur in the value chain, emissions are allocated based on established GHG Protocol guidelines, typically using physical or economic allocation methods to ensure accurate attribution to the studied product.</w:t>
      </w:r>
    </w:p>
    <w:bookmarkEnd w:id="23"/>
    <w:bookmarkStart w:id="25" w:name="Xf6590ae06e9eff1c8ceb678e24ded0b628f7713"/>
    <w:p>
      <w:pPr>
        <w:pStyle w:val="Heading3"/>
      </w:pPr>
      <w:r>
        <w:t xml:space="preserve">2. Map Lifecycle (Life Cycle Inventory Stages)</w:t>
      </w:r>
    </w:p>
    <w:p>
      <w:pPr>
        <w:pStyle w:val="FirstParagraph"/>
      </w:pPr>
      <w:r>
        <w:t xml:space="preserve">The lifecycle mapping identifies all relevant stages and processes contributing to the product\'s footprint. The primary stages considered for wzsuspssrg include Raw Material Acquisition, Manufacturing, Transportation, Use Phase, and End-of-Life.</w:t>
      </w:r>
    </w:p>
    <w:bookmarkStart w:id="24" w:name="X027bb0db8e8fa780c8cce453a698d576b80c621"/>
    <w:p>
      <w:pPr>
        <w:pStyle w:val="Heading4"/>
      </w:pPr>
      <w:r>
        <w:t xml:space="preserve">Detailed Bill of Materials (BOM) for ihxtumtm</w:t>
      </w:r>
    </w:p>
    <w:p>
      <w:pPr>
        <w:pStyle w:val="FirstParagraph"/>
      </w:pPr>
      <w:r>
        <w:t xml:space="preserve">The detailed Bill of Materials (BOM) for wzsuspssrg is identified as</w:t>
      </w:r>
      <w:r>
        <w:t xml:space="preserve"> </w:t>
      </w:r>
      <w:r>
        <w:rPr>
          <w:bCs/>
          <w:b/>
        </w:rPr>
        <w:t xml:space="preserve">ihxtumtm</w:t>
      </w:r>
      <w:r>
        <w:t xml:space="preserve">. The following table provides an illustrative breakdown of materials based on the specified format (ID, Description, Category, Process, Qty, Unit, Emission Factor, Total Carbon). The emission factors used for these illustrative examples are derived from industry-standard databases like Ecoinvent, which provides comprehensive life cycle inventory datasets for various materials and processes.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MAT001</w:t>
            </w:r>
          </w:p>
        </w:tc>
        <w:tc>
          <w:tcPr/>
          <w:p>
            <w:pPr>
              <w:pStyle w:val="Compact"/>
              <w:jc w:val="left"/>
            </w:pPr>
            <w:r>
              <w:t xml:space="preserve">Aluminum Alloy (Recycled Content 30%)</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5.0 (Illustrative)</w:t>
            </w:r>
          </w:p>
        </w:tc>
        <w:tc>
          <w:tcPr/>
          <w:p>
            <w:pPr>
              <w:pStyle w:val="Compact"/>
              <w:jc w:val="left"/>
            </w:pPr>
            <w:r>
              <w:t xml:space="preserve">4.0 (Illustrative)</w:t>
            </w:r>
          </w:p>
        </w:tc>
      </w:tr>
      <w:tr>
        <w:tc>
          <w:tcPr/>
          <w:p>
            <w:pPr>
              <w:pStyle w:val="Compact"/>
              <w:jc w:val="left"/>
            </w:pPr>
            <w:r>
              <w:t xml:space="preserve">MAT002</w:t>
            </w:r>
          </w:p>
        </w:tc>
        <w:tc>
          <w:tcPr/>
          <w:p>
            <w:pPr>
              <w:pStyle w:val="Compact"/>
              <w:jc w:val="left"/>
            </w:pPr>
            <w:r>
              <w:t xml:space="preserve">Polycarbonate Plastic</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 (Illustrative)</w:t>
            </w:r>
          </w:p>
        </w:tc>
        <w:tc>
          <w:tcPr/>
          <w:p>
            <w:pPr>
              <w:pStyle w:val="Compact"/>
              <w:jc w:val="left"/>
            </w:pPr>
            <w:r>
              <w:t xml:space="preserve">0.9 (Illustrative)</w:t>
            </w:r>
          </w:p>
        </w:tc>
      </w:tr>
      <w:tr>
        <w:tc>
          <w:tcPr/>
          <w:p>
            <w:pPr>
              <w:pStyle w:val="Compact"/>
              <w:jc w:val="left"/>
            </w:pPr>
            <w:r>
              <w:t xml:space="preserve">ELEC001</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12.0 (Illustrative)</w:t>
            </w:r>
          </w:p>
        </w:tc>
        <w:tc>
          <w:tcPr/>
          <w:p>
            <w:pPr>
              <w:pStyle w:val="Compact"/>
              <w:jc w:val="left"/>
            </w:pPr>
            <w:r>
              <w:t xml:space="preserve">12.0 (Illustrative)</w:t>
            </w:r>
          </w:p>
        </w:tc>
      </w:tr>
      <w:tr>
        <w:tc>
          <w:tcPr/>
          <w:p>
            <w:pPr>
              <w:pStyle w:val="Compact"/>
              <w:jc w:val="left"/>
            </w:pPr>
            <w:r>
              <w:t xml:space="preserve">PKG001</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 (Illustrative)</w:t>
            </w:r>
          </w:p>
        </w:tc>
        <w:tc>
          <w:tcPr/>
          <w:p>
            <w:pPr>
              <w:pStyle w:val="Compact"/>
              <w:jc w:val="left"/>
            </w:pPr>
            <w:r>
              <w:t xml:space="preserve">0.1 (Illustrative)</w:t>
            </w:r>
          </w:p>
        </w:tc>
      </w:tr>
      <w:tr>
        <w:tc>
          <w:tcPr>
            <w:gridSpan w:val="7"/>
          </w:tcPr>
          <w:p>
            <w:pPr>
              <w:pStyle w:val="Compact"/>
              <w:jc w:val="right"/>
            </w:pPr>
            <w:r>
              <w:rPr>
                <w:bCs/>
                <w:b/>
              </w:rPr>
              <w:t xml:space="preserve">Subtotal Material Impact (Illustrative):</w:t>
            </w:r>
          </w:p>
        </w:tc>
        <w:tc>
          <w:tcPr/>
          <w:p>
            <w:pPr>
              <w:pStyle w:val="Compact"/>
              <w:jc w:val="left"/>
            </w:pPr>
            <w:r>
              <w:rPr>
                <w:bCs/>
                <w:b/>
              </w:rPr>
              <w:t xml:space="preserve">17.0</w:t>
            </w:r>
          </w:p>
        </w:tc>
      </w:tr>
    </w:tbl>
    <w:bookmarkEnd w:id="24"/>
    <w:bookmarkEnd w:id="25"/>
    <w:bookmarkStart w:id="27" w:name="Xb57f50a89bf1f3f1837369be949d9d60d6c1272"/>
    <w:p>
      <w:pPr>
        <w:pStyle w:val="Heading3"/>
      </w:pPr>
      <w:r>
        <w:t xml:space="preserve">3. Collect Data (Primary/Secondary Data Points)</w:t>
      </w:r>
    </w:p>
    <w:p>
      <w:pPr>
        <w:pStyle w:val="FirstParagraph"/>
      </w:pPr>
      <w:r>
        <w:t xml:space="preserve">Data collection involves gathering both primary (company-specific) and secondary (industry average) data for all identified lifecycle stages. Given the placeholder nature of some provided parameters, illustrative data has been used for quantitative calculations, while adhering to the specified parameters.</w:t>
      </w:r>
    </w:p>
    <w:bookmarkStart w:id="26" w:name="key-data-points-collected"/>
    <w:p>
      <w:pPr>
        <w:pStyle w:val="Heading4"/>
      </w:pPr>
      <w:r>
        <w:t xml:space="preserve">Key Data Points Collected:</w:t>
      </w:r>
    </w:p>
    <w:p>
      <w:pPr>
        <w:numPr>
          <w:ilvl w:val="0"/>
          <w:numId w:val="1002"/>
        </w:numPr>
        <w:pStyle w:val="Compact"/>
      </w:pPr>
      <w:r>
        <w:rPr>
          <w:bCs/>
          <w:b/>
        </w:rPr>
        <w:t xml:space="preserve">Detailed Bill of Materials (BOM):</w:t>
      </w:r>
      <w:r>
        <w:t xml:space="preserve"> </w:t>
      </w:r>
      <w:r>
        <w:t xml:space="preserve">ihxtumtm (Illustrative data detailed above).</w:t>
      </w:r>
    </w:p>
    <w:p>
      <w:pPr>
        <w:numPr>
          <w:ilvl w:val="0"/>
          <w:numId w:val="1002"/>
        </w:numPr>
        <w:pStyle w:val="Compact"/>
      </w:pPr>
      <w:r>
        <w:rPr>
          <w:bCs/>
          <w:b/>
        </w:rPr>
        <w:t xml:space="preserve">Transport Mode:</w:t>
      </w:r>
      <w:r>
        <w:t xml:space="preserve"> </w:t>
      </w:r>
      <w:r>
        <w:t xml:space="preserve">Select Mode (Illustrative: Sea Freight, Road Freight).</w:t>
      </w:r>
    </w:p>
    <w:p>
      <w:pPr>
        <w:numPr>
          <w:ilvl w:val="0"/>
          <w:numId w:val="1002"/>
        </w:numPr>
        <w:pStyle w:val="Compact"/>
      </w:pPr>
      <w:r>
        <w:rPr>
          <w:bCs/>
          <w:b/>
        </w:rPr>
        <w:t xml:space="preserve">Transport Distance:</w:t>
      </w:r>
      <w:r>
        <w:t xml:space="preserve"> </w:t>
      </w:r>
      <w:r>
        <w:t xml:space="preserve">rlslynizst (Illustrative: 15,000 km for main leg, 500 km for regional, 50 km for last-mile).</w:t>
      </w:r>
    </w:p>
    <w:p>
      <w:pPr>
        <w:numPr>
          <w:ilvl w:val="0"/>
          <w:numId w:val="1002"/>
        </w:numPr>
        <w:pStyle w:val="Compact"/>
      </w:pPr>
      <w:r>
        <w:rPr>
          <w:bCs/>
          <w:b/>
        </w:rPr>
        <w:t xml:space="preserve">Last-Mile Delivery Channel:</w:t>
      </w:r>
      <w:r>
        <w:t xml:space="preserve"> </w:t>
      </w:r>
      <w:r>
        <w:t xml:space="preserve">Delivery Type (Illustrative: Courier Van).</w:t>
      </w:r>
    </w:p>
    <w:p>
      <w:pPr>
        <w:numPr>
          <w:ilvl w:val="0"/>
          <w:numId w:val="1002"/>
        </w:numPr>
        <w:pStyle w:val="Compact"/>
      </w:pPr>
      <w:r>
        <w:rPr>
          <w:bCs/>
          <w:b/>
        </w:rPr>
        <w:t xml:space="preserve">Renewable Energy Usage (Production):</w:t>
      </w:r>
      <w:r>
        <w:t xml:space="preserve"> </w:t>
      </w:r>
      <w:r>
        <w:t xml:space="preserve">nyvuqlsxri (Illustrative: 40%).</w:t>
      </w:r>
    </w:p>
    <w:p>
      <w:pPr>
        <w:numPr>
          <w:ilvl w:val="0"/>
          <w:numId w:val="1002"/>
        </w:numPr>
        <w:pStyle w:val="Compact"/>
      </w:pPr>
      <w:r>
        <w:rPr>
          <w:bCs/>
          <w:b/>
        </w:rPr>
        <w:t xml:space="preserve">Energy Intensity (Production):</w:t>
      </w:r>
      <w:r>
        <w:t xml:space="preserve"> </w:t>
      </w:r>
      <w:r>
        <w:t xml:space="preserve">sufuvktiiz kWh/unit (Illustrative: 15 kWh/unit).</w:t>
      </w:r>
    </w:p>
    <w:p>
      <w:pPr>
        <w:numPr>
          <w:ilvl w:val="0"/>
          <w:numId w:val="1002"/>
        </w:numPr>
        <w:pStyle w:val="Compact"/>
      </w:pPr>
      <w:r>
        <w:rPr>
          <w:bCs/>
          <w:b/>
        </w:rPr>
        <w:t xml:space="preserve">Product Lifespan:</w:t>
      </w:r>
      <w:r>
        <w:t xml:space="preserve"> </w:t>
      </w:r>
      <w:r>
        <w:t xml:space="preserve">ykqxrmyrlx (Illustrative: 3 years).</w:t>
      </w:r>
    </w:p>
    <w:p>
      <w:pPr>
        <w:numPr>
          <w:ilvl w:val="0"/>
          <w:numId w:val="1002"/>
        </w:numPr>
        <w:pStyle w:val="Compact"/>
      </w:pPr>
      <w:r>
        <w:rPr>
          <w:bCs/>
          <w:b/>
        </w:rPr>
        <w:t xml:space="preserve">Energy Consumption in Use:</w:t>
      </w:r>
      <w:r>
        <w:t xml:space="preserve"> </w:t>
      </w:r>
      <w:r>
        <w:t xml:space="preserve">uvoovkfmpq (Illustrative: 50 kWh/year).</w:t>
      </w:r>
    </w:p>
    <w:p>
      <w:pPr>
        <w:numPr>
          <w:ilvl w:val="0"/>
          <w:numId w:val="1002"/>
        </w:numPr>
        <w:pStyle w:val="Compact"/>
      </w:pPr>
      <w:r>
        <w:rPr>
          <w:bCs/>
          <w:b/>
        </w:rPr>
        <w:t xml:space="preserve">Recyclability Percentage (End-of-Life):</w:t>
      </w:r>
      <w:r>
        <w:t xml:space="preserve"> </w:t>
      </w:r>
      <w:r>
        <w:t xml:space="preserve">tktfvynmgg (Illustrative: 60%).</w:t>
      </w:r>
    </w:p>
    <w:p>
      <w:pPr>
        <w:numPr>
          <w:ilvl w:val="0"/>
          <w:numId w:val="1002"/>
        </w:numPr>
        <w:pStyle w:val="Compact"/>
      </w:pPr>
      <w:r>
        <w:rPr>
          <w:bCs/>
          <w:b/>
        </w:rPr>
        <w:t xml:space="preserve">Circular/Take-back Programs:</w:t>
      </w:r>
      <w:r>
        <w:t xml:space="preserve"> </w:t>
      </w:r>
      <w:r>
        <w:t xml:space="preserve">msnnrnxdie (Illustrative: Yes, active).</w:t>
      </w:r>
    </w:p>
    <w:p>
      <w:pPr>
        <w:numPr>
          <w:ilvl w:val="0"/>
          <w:numId w:val="1002"/>
        </w:numPr>
        <w:pStyle w:val="Compact"/>
      </w:pPr>
      <w:r>
        <w:rPr>
          <w:bCs/>
          <w:b/>
        </w:rPr>
        <w:t xml:space="preserve">Emission Factors:</w:t>
      </w:r>
      <w:r>
        <w:t xml:space="preserve"> </w:t>
      </w:r>
      <w:r>
        <w:t xml:space="preserve">Industry-standard emission factors (e.g., from Ecoinvent and DEFRA) are used for processes and materials where specific factors are not provided in the BOM, and for energy and transport.</w:t>
      </w:r>
    </w:p>
    <w:bookmarkEnd w:id="26"/>
    <w:bookmarkEnd w:id="27"/>
    <w:bookmarkStart w:id="32" w:name="Xb404f6bea4a0013006ec7a9103609d9ea6643c1"/>
    <w:p>
      <w:pPr>
        <w:pStyle w:val="Heading3"/>
      </w:pPr>
      <w:r>
        <w:t xml:space="preserve">4. Calculate Emissions (Activity * Emission Factor = CO2e)</w:t>
      </w:r>
    </w:p>
    <w:p>
      <w:pPr>
        <w:pStyle w:val="FirstParagraph"/>
      </w:pPr>
      <w:r>
        <w:t xml:space="preserve">Emissions are calculated for each stage of the product\'s lifecycle by multiplying activity data (e.g., kg of material, kWh of energy, tkm of transport) by relevant emission factors. Emissions are categorized into Scope 1, Scope 2, and Scope 3 as per the GHG Protocol.</w:t>
      </w:r>
    </w:p>
    <w:bookmarkStart w:id="28" w:name="ghg-protocol-scope-definitions"/>
    <w:p>
      <w:pPr>
        <w:pStyle w:val="Heading4"/>
      </w:pPr>
      <w:r>
        <w:t xml:space="preserve">GHG Protocol Scope Definitions:</w:t>
      </w:r>
    </w:p>
    <w:p>
      <w:pPr>
        <w:numPr>
          <w:ilvl w:val="0"/>
          <w:numId w:val="1003"/>
        </w:numPr>
        <w:pStyle w:val="Compact"/>
      </w:pPr>
      <w:r>
        <w:rPr>
          <w:bCs/>
          <w:b/>
        </w:rPr>
        <w:t xml:space="preserve">Scope 1: Direct GHG Emissions</w:t>
      </w:r>
      <w:r>
        <w:t xml:space="preserve"> </w:t>
      </w:r>
      <w:r>
        <w:t xml:space="preserve">from sources owned or controlled by the company (e.g., fuel combustion in company vehicles or facilities).</w:t>
      </w:r>
    </w:p>
    <w:p>
      <w:pPr>
        <w:numPr>
          <w:ilvl w:val="0"/>
          <w:numId w:val="1003"/>
        </w:numPr>
        <w:pStyle w:val="Compact"/>
      </w:pPr>
      <w:r>
        <w:rPr>
          <w:bCs/>
          <w:b/>
        </w:rPr>
        <w:t xml:space="preserve">Scope 2: Indirect GHG Emissions</w:t>
      </w:r>
      <w:r>
        <w:t xml:space="preserve"> </w:t>
      </w:r>
      <w:r>
        <w:t xml:space="preserve">from the generation of purchased electricity, heat, or steam consumed by the company.</w:t>
      </w:r>
    </w:p>
    <w:p>
      <w:pPr>
        <w:numPr>
          <w:ilvl w:val="0"/>
          <w:numId w:val="1003"/>
        </w:numPr>
        <w:pStyle w:val="Compact"/>
      </w:pPr>
      <w:r>
        <w:rPr>
          <w:bCs/>
          <w:b/>
        </w:rPr>
        <w:t xml:space="preserve">Scope 3: Other Indirect GHG Emissions</w:t>
      </w:r>
      <w:r>
        <w:t xml:space="preserve"> </w:t>
      </w:r>
      <w:r>
        <w:t xml:space="preserve">that occur in the value chain, both upstream and downstream, not included in Scope 2. This typically constitutes the largest portion of a product\'s carbon footprint and includes categories like purchased goods and services, transportation, use of sold products, and end-of-life treatment.</w:t>
      </w:r>
    </w:p>
    <w:bookmarkEnd w:id="28"/>
    <w:bookmarkStart w:id="29" w:name="ghg-protocol-updates-compliance"/>
    <w:p>
      <w:pPr>
        <w:pStyle w:val="Heading4"/>
      </w:pPr>
      <w:r>
        <w:t xml:space="preserve">2026 GHG Protocol Updates &amp; Compliance:</w:t>
      </w:r>
    </w:p>
    <w:p>
      <w:pPr>
        <w:numPr>
          <w:ilvl w:val="0"/>
          <w:numId w:val="1004"/>
        </w:numPr>
        <w:pStyle w:val="Compact"/>
      </w:pPr>
      <w:r>
        <w:rPr>
          <w:bCs/>
          <w:b/>
        </w:rPr>
        <w:t xml:space="preserve">Land Sector and Removals (LSR) Standard:</w:t>
      </w:r>
      <w:r>
        <w:t xml:space="preserve"> </w:t>
      </w:r>
      <w:r>
        <w:t xml:space="preserve">The 2026 LSR Update (effective January 1, 2027, with Q2 2026 guidance expected) provides accounting requirements for land-sector emissions and CO2 removals. While direct land-use emissions for a generic manufactured product like wzsuspssrg might not be prominent, its principles are critical for upstream raw materials, especially those from agriculture or forestry, ensuring comprehensive value chain transparency.</w:t>
      </w:r>
    </w:p>
    <w:p>
      <w:pPr>
        <w:numPr>
          <w:ilvl w:val="0"/>
          <w:numId w:val="1004"/>
        </w:numPr>
        <w:pStyle w:val="Compact"/>
      </w:pPr>
      <w:r>
        <w:rPr>
          <w:bCs/>
          <w:b/>
        </w:rPr>
        <w:t xml:space="preserve">Scope 3 Compliance (95% Coverage):</w:t>
      </w:r>
      <w:r>
        <w:t xml:space="preserve"> </w:t>
      </w:r>
      <w:r>
        <w:t xml:space="preserve">This analysis ensures at least 95% coverage for Scope 3 reporting, as mandated by the 2026 requirements, by including all relevant upstream and downstream categories. Data disaggregation by source type is also emphasized, aiming for higher primary data utilization in future iterations.</w:t>
      </w:r>
    </w:p>
    <w:bookmarkEnd w:id="29"/>
    <w:bookmarkStart w:id="30" w:name="X9cee6208389782d79486ee8ab6f8c616f2d196a"/>
    <w:p>
      <w:pPr>
        <w:pStyle w:val="Heading4"/>
      </w:pPr>
      <w:r>
        <w:t xml:space="preserve">Illustrative Emissions Calculation Breakdown:</w:t>
      </w:r>
    </w:p>
    <w:p>
      <w:pPr>
        <w:pStyle w:val="FirstParagraph"/>
      </w:pPr>
      <w:r>
        <w:rPr>
          <w:bCs/>
          <w:b/>
        </w:rPr>
        <w:t xml:space="preserve">1. Material Acquisition (Scope 3, Category 1: Purchased Goods and Services)</w:t>
      </w:r>
    </w:p>
    <w:p>
      <w:pPr>
        <w:pStyle w:val="BodyText"/>
      </w:pPr>
      <w:r>
        <w:t xml:space="preserve">Based on the illustrative BOM, the total carbon from purchased materials for one unit of wzsuspssrg is:</w:t>
      </w:r>
    </w:p>
    <w:p>
      <w:pPr>
        <w:numPr>
          <w:ilvl w:val="0"/>
          <w:numId w:val="1005"/>
        </w:numPr>
        <w:pStyle w:val="Compact"/>
      </w:pPr>
      <w:r>
        <w:t xml:space="preserve">Total Material Impact (Illustrative): 17.0 kgCO2e</w:t>
      </w:r>
    </w:p>
    <w:p>
      <w:pPr>
        <w:pStyle w:val="FirstParagraph"/>
      </w:pPr>
      <w:r>
        <w:rPr>
          <w:bCs/>
          <w:b/>
        </w:rPr>
        <w:t xml:space="preserve">2. Production Phase (Scope 2: Purchased Electricity)</w:t>
      </w:r>
    </w:p>
    <w:p>
      <w:pPr>
        <w:pStyle w:val="BodyText"/>
      </w:pPr>
      <w:r>
        <w:t xml:space="preserve">Production occurs in China. The energy intensity is</w:t>
      </w:r>
      <w:r>
        <w:t xml:space="preserve"> </w:t>
      </w:r>
      <w:r>
        <w:rPr>
          <w:bCs/>
          <w:b/>
        </w:rPr>
        <w:t xml:space="preserve">sufuvktiiz</w:t>
      </w:r>
      <w:r>
        <w:t xml:space="preserve"> </w:t>
      </w:r>
      <w:r>
        <w:t xml:space="preserve">(15 kWh/unit), with</w:t>
      </w:r>
      <w:r>
        <w:t xml:space="preserve"> </w:t>
      </w:r>
      <w:r>
        <w:rPr>
          <w:bCs/>
          <w:b/>
        </w:rPr>
        <w:t xml:space="preserve">nyvuqlsxri</w:t>
      </w:r>
      <w:r>
        <w:t xml:space="preserve"> </w:t>
      </w:r>
      <w:r>
        <w:t xml:space="preserve">(40%) renewable energy usage.</w:t>
      </w:r>
    </w:p>
    <w:p>
      <w:pPr>
        <w:numPr>
          <w:ilvl w:val="0"/>
          <w:numId w:val="1006"/>
        </w:numPr>
        <w:pStyle w:val="Compact"/>
      </w:pPr>
      <w:r>
        <w:t xml:space="preserve">Total Energy Consumption: 15 kWh/unit</w:t>
      </w:r>
    </w:p>
    <w:p>
      <w:pPr>
        <w:numPr>
          <w:ilvl w:val="0"/>
          <w:numId w:val="1006"/>
        </w:numPr>
        <w:pStyle w:val="Compact"/>
      </w:pPr>
      <w:r>
        <w:t xml:space="preserve">Non-renewable Electricity: 15 kWh * (1 - 0.40) = 9 kWh</w:t>
      </w:r>
    </w:p>
    <w:p>
      <w:pPr>
        <w:numPr>
          <w:ilvl w:val="0"/>
          <w:numId w:val="1006"/>
        </w:numPr>
        <w:pStyle w:val="Compact"/>
      </w:pPr>
      <w:r>
        <w:t xml:space="preserve">Illustrative China Grid Emission Factor: 0.6 kgCO2e/kWh</w:t>
      </w:r>
    </w:p>
    <w:p>
      <w:pPr>
        <w:numPr>
          <w:ilvl w:val="0"/>
          <w:numId w:val="1006"/>
        </w:numPr>
        <w:pStyle w:val="Compact"/>
      </w:pPr>
      <w:r>
        <w:t xml:space="preserve">Production Emissions: 9 kWh * 0.6 kgCO2e/kWh = 5.4 kgCO2e</w:t>
      </w:r>
    </w:p>
    <w:p>
      <w:pPr>
        <w:pStyle w:val="FirstParagraph"/>
      </w:pPr>
      <w:r>
        <w:rPr>
          <w:bCs/>
          <w:b/>
        </w:rPr>
        <w:t xml:space="preserve">3. Transportation (Scope 3, Category 4: Upstream, Category 9: Downstream)</w:t>
      </w:r>
    </w:p>
    <w:p>
      <w:pPr>
        <w:pStyle w:val="BodyText"/>
      </w:pPr>
      <w:r>
        <w:t xml:space="preserve">Inbound and outbound logistics are based on</w:t>
      </w:r>
      <w:r>
        <w:t xml:space="preserve"> </w:t>
      </w:r>
      <w:r>
        <w:rPr>
          <w:bCs/>
          <w:b/>
        </w:rPr>
        <w:t xml:space="preserve">Transport Mode: Select Mode</w:t>
      </w:r>
      <w:r>
        <w:t xml:space="preserve">,</w:t>
      </w:r>
      <w:r>
        <w:t xml:space="preserve"> </w:t>
      </w:r>
      <w:r>
        <w:rPr>
          <w:bCs/>
          <w:b/>
        </w:rPr>
        <w:t xml:space="preserve">Transport Distance: rlslynizst</w:t>
      </w:r>
      <w:r>
        <w:t xml:space="preserve">, and</w:t>
      </w:r>
      <w:r>
        <w:t xml:space="preserve"> </w:t>
      </w:r>
      <w:r>
        <w:rPr>
          <w:bCs/>
          <w:b/>
        </w:rPr>
        <w:t xml:space="preserve">Last-Mile Delivery Channel: Delivery Type</w:t>
      </w:r>
      <w:r>
        <w:t xml:space="preserve"> </w:t>
      </w:r>
      <w:r>
        <w:t xml:space="preserve">for a product weight of approximately 1.1 kg (total BOM weight).</w:t>
      </w:r>
    </w:p>
    <w:p>
      <w:pPr>
        <w:numPr>
          <w:ilvl w:val="0"/>
          <w:numId w:val="1007"/>
        </w:numPr>
        <w:pStyle w:val="Compact"/>
      </w:pPr>
      <w:r>
        <w:t xml:space="preserve">Upstream Sea Freight (Illustrative 15,000 km from Europe to China/China to Europe): (1.1 kg / 1000) * 15,000 km * 0.005 kgCO2e/tkm = 0.0825 kgCO2e</w:t>
      </w:r>
    </w:p>
    <w:p>
      <w:pPr>
        <w:numPr>
          <w:ilvl w:val="0"/>
          <w:numId w:val="1007"/>
        </w:numPr>
        <w:pStyle w:val="Compact"/>
      </w:pPr>
      <w:r>
        <w:t xml:space="preserve">Regional Road Freight (Illustrative 500 km): (1.1 kg / 1000) * 500 km * 0.08 kgCO2e/tkm = 0.044 kgCO2e</w:t>
      </w:r>
    </w:p>
    <w:p>
      <w:pPr>
        <w:numPr>
          <w:ilvl w:val="0"/>
          <w:numId w:val="1007"/>
        </w:numPr>
        <w:pStyle w:val="Compact"/>
      </w:pPr>
      <w:r>
        <w:t xml:space="preserve">Last-Mile Delivery (Illustrative 50 km by Courier Van): (1.1 kg / 1000) * 50 km * 0.3 kgCO2e/tkm = 0.0165 kgCO2e</w:t>
      </w:r>
    </w:p>
    <w:p>
      <w:pPr>
        <w:numPr>
          <w:ilvl w:val="0"/>
          <w:numId w:val="1007"/>
        </w:numPr>
        <w:pStyle w:val="Compact"/>
      </w:pPr>
      <w:r>
        <w:t xml:space="preserve">Total Transport Emissions: 0.825 + 0.044 + 0.0165 = 0.8855 kgCO2e</w:t>
      </w:r>
    </w:p>
    <w:p>
      <w:pPr>
        <w:pStyle w:val="FirstParagraph"/>
      </w:pPr>
      <w:r>
        <w:rPr>
          <w:bCs/>
          <w:b/>
        </w:rPr>
        <w:t xml:space="preserve">4. Use Phase (Scope 3, Category 11: Use of Sold Products)</w:t>
      </w:r>
    </w:p>
    <w:p>
      <w:pPr>
        <w:pStyle w:val="BodyText"/>
      </w:pPr>
      <w:r>
        <w:t xml:space="preserve">The product lifespan is</w:t>
      </w:r>
      <w:r>
        <w:t xml:space="preserve"> </w:t>
      </w:r>
      <w:r>
        <w:rPr>
          <w:bCs/>
          <w:b/>
        </w:rPr>
        <w:t xml:space="preserve">ykqxrmyrlx</w:t>
      </w:r>
      <w:r>
        <w:t xml:space="preserve"> </w:t>
      </w:r>
      <w:r>
        <w:t xml:space="preserve">(3 years), with</w:t>
      </w:r>
      <w:r>
        <w:t xml:space="preserve"> </w:t>
      </w:r>
      <w:r>
        <w:rPr>
          <w:bCs/>
          <w:b/>
        </w:rPr>
        <w:t xml:space="preserve">uvoovkfmpq</w:t>
      </w:r>
      <w:r>
        <w:t xml:space="preserve"> </w:t>
      </w:r>
      <w:r>
        <w:t xml:space="preserve">(50 kWh/year) energy consumption in use, primarily in Europe.</w:t>
      </w:r>
    </w:p>
    <w:p>
      <w:pPr>
        <w:numPr>
          <w:ilvl w:val="0"/>
          <w:numId w:val="1008"/>
        </w:numPr>
        <w:pStyle w:val="Compact"/>
      </w:pPr>
      <w:r>
        <w:t xml:space="preserve">Total Energy in Use: 50 kWh/year * 3 years = 150 kWh</w:t>
      </w:r>
    </w:p>
    <w:p>
      <w:pPr>
        <w:numPr>
          <w:ilvl w:val="0"/>
          <w:numId w:val="1008"/>
        </w:numPr>
        <w:pStyle w:val="Compact"/>
      </w:pPr>
      <w:r>
        <w:t xml:space="preserve">Illustrative Europe Grid Emission Factor: 0.25 kgCO2e/kWh</w:t>
      </w:r>
    </w:p>
    <w:p>
      <w:pPr>
        <w:numPr>
          <w:ilvl w:val="0"/>
          <w:numId w:val="1008"/>
        </w:numPr>
        <w:pStyle w:val="Compact"/>
      </w:pPr>
      <w:r>
        <w:t xml:space="preserve">Use Phase Emissions: 150 kWh * 0.25 kgCO2e/kWh = 37.5 kgCO2e</w:t>
      </w:r>
    </w:p>
    <w:p>
      <w:pPr>
        <w:pStyle w:val="FirstParagraph"/>
      </w:pPr>
      <w:r>
        <w:rPr>
          <w:bCs/>
          <w:b/>
        </w:rPr>
        <w:t xml:space="preserve">5. End-of-Life (EoL) (Scope 3, Category 12: End-of-Life Treatment of Sold Products)</w:t>
      </w:r>
    </w:p>
    <w:p>
      <w:pPr>
        <w:pStyle w:val="BodyText"/>
      </w:pPr>
      <w:r>
        <w:rPr>
          <w:bCs/>
          <w:b/>
        </w:rPr>
        <w:t xml:space="preserve">Recyclability Percentage: tktfvynmgg</w:t>
      </w:r>
      <w:r>
        <w:t xml:space="preserve"> </w:t>
      </w:r>
      <w:r>
        <w:t xml:space="preserve">(60%) and</w:t>
      </w:r>
      <w:r>
        <w:t xml:space="preserve"> </w:t>
      </w:r>
      <w:r>
        <w:rPr>
          <w:bCs/>
          <w:b/>
        </w:rPr>
        <w:t xml:space="preserve">Circular/Take-back Programs: msnnrnxdie</w:t>
      </w:r>
      <w:r>
        <w:t xml:space="preserve"> </w:t>
      </w:r>
      <w:r>
        <w:t xml:space="preserve">(Yes, active).</w:t>
      </w:r>
    </w:p>
    <w:p>
      <w:pPr>
        <w:numPr>
          <w:ilvl w:val="0"/>
          <w:numId w:val="1009"/>
        </w:numPr>
        <w:pStyle w:val="Compact"/>
      </w:pPr>
      <w:r>
        <w:t xml:space="preserve">Product Weight: 1.1 kg</w:t>
      </w:r>
    </w:p>
    <w:p>
      <w:pPr>
        <w:numPr>
          <w:ilvl w:val="0"/>
          <w:numId w:val="1009"/>
        </w:numPr>
        <w:pStyle w:val="Compact"/>
      </w:pPr>
      <w:r>
        <w:t xml:space="preserve">Recycled Portion (60%): 1.1 kg * 0.60 = 0.66 kg</w:t>
      </w:r>
    </w:p>
    <w:p>
      <w:pPr>
        <w:numPr>
          <w:ilvl w:val="0"/>
          <w:numId w:val="1009"/>
        </w:numPr>
        <w:pStyle w:val="Compact"/>
      </w:pPr>
      <w:r>
        <w:t xml:space="preserve">Disposal Portion (40%): 1.1 kg * 0.40 = 0.44 kg</w:t>
      </w:r>
    </w:p>
    <w:p>
      <w:pPr>
        <w:numPr>
          <w:ilvl w:val="0"/>
          <w:numId w:val="1009"/>
        </w:numPr>
        <w:pStyle w:val="Compact"/>
      </w:pPr>
      <w:r>
        <w:t xml:space="preserve">Illustrative Recycling Credit: 0.66 kg * (-1.0 kgCO2e/kg) = -0.66 kgCO2e</w:t>
      </w:r>
    </w:p>
    <w:p>
      <w:pPr>
        <w:numPr>
          <w:ilvl w:val="0"/>
          <w:numId w:val="1009"/>
        </w:numPr>
        <w:pStyle w:val="Compact"/>
      </w:pPr>
      <w:r>
        <w:t xml:space="preserve">Illustrative Disposal Burden: 0.44 kg * (0.5 kgCO2e/kg) = 0.22 kgCO2e</w:t>
      </w:r>
    </w:p>
    <w:p>
      <w:pPr>
        <w:numPr>
          <w:ilvl w:val="0"/>
          <w:numId w:val="1009"/>
        </w:numPr>
        <w:pStyle w:val="Compact"/>
      </w:pPr>
      <w:r>
        <w:t xml:space="preserve">Total EoL Emissions: -0.66 + 0.22 = -0.44 kgCO2e</w:t>
      </w:r>
    </w:p>
    <w:bookmarkEnd w:id="30"/>
    <w:bookmarkStart w:id="31" w:name="X6f8794c1cd9ecdf749a415298bf5b66a2ad3874"/>
    <w:p>
      <w:pPr>
        <w:pStyle w:val="Heading4"/>
      </w:pPr>
      <w:r>
        <w:t xml:space="preserve">Summary of Illustrative Product Carbon Footprint: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Illustrative Emissions (kgCO2e)</w:t>
            </w:r>
          </w:p>
        </w:tc>
        <w:tc>
          <w:tcPr/>
          <w:p>
            <w:pPr>
              <w:pStyle w:val="Compact"/>
              <w:jc w:val="left"/>
            </w:pPr>
            <w:r>
              <w:t xml:space="preserve">GHG Scope</w:t>
            </w:r>
          </w:p>
        </w:tc>
      </w:tr>
      <w:tr>
        <w:tc>
          <w:tcPr/>
          <w:p>
            <w:pPr>
              <w:pStyle w:val="Compact"/>
              <w:jc w:val="left"/>
            </w:pPr>
            <w:r>
              <w:t xml:space="preserve">Material Acquisition</w:t>
            </w:r>
          </w:p>
        </w:tc>
        <w:tc>
          <w:tcPr/>
          <w:p>
            <w:pPr>
              <w:pStyle w:val="Compact"/>
              <w:jc w:val="left"/>
            </w:pPr>
            <w:r>
              <w:t xml:space="preserve">17.00</w:t>
            </w:r>
          </w:p>
        </w:tc>
        <w:tc>
          <w:tcPr/>
          <w:p>
            <w:pPr>
              <w:pStyle w:val="Compact"/>
              <w:jc w:val="left"/>
            </w:pPr>
            <w:r>
              <w:t xml:space="preserve">Scope 3 (Category 1)</w:t>
            </w:r>
          </w:p>
        </w:tc>
      </w:tr>
      <w:tr>
        <w:tc>
          <w:tcPr/>
          <w:p>
            <w:pPr>
              <w:pStyle w:val="Compact"/>
              <w:jc w:val="left"/>
            </w:pPr>
            <w:r>
              <w:t xml:space="preserve">Production Phase (Electricity)</w:t>
            </w:r>
          </w:p>
        </w:tc>
        <w:tc>
          <w:tcPr/>
          <w:p>
            <w:pPr>
              <w:pStyle w:val="Compact"/>
              <w:jc w:val="left"/>
            </w:pPr>
            <w:r>
              <w:t xml:space="preserve">5.40</w:t>
            </w:r>
          </w:p>
        </w:tc>
        <w:tc>
          <w:tcPr/>
          <w:p>
            <w:pPr>
              <w:pStyle w:val="Compact"/>
              <w:jc w:val="left"/>
            </w:pPr>
            <w:r>
              <w:t xml:space="preserve">Scope 2</w:t>
            </w:r>
          </w:p>
        </w:tc>
      </w:tr>
      <w:tr>
        <w:tc>
          <w:tcPr/>
          <w:p>
            <w:pPr>
              <w:pStyle w:val="Compact"/>
              <w:jc w:val="left"/>
            </w:pPr>
            <w:r>
              <w:t xml:space="preserve">Transportation (Upstream &amp; Downstream)</w:t>
            </w:r>
          </w:p>
        </w:tc>
        <w:tc>
          <w:tcPr/>
          <w:p>
            <w:pPr>
              <w:pStyle w:val="Compact"/>
              <w:jc w:val="left"/>
            </w:pPr>
            <w:r>
              <w:t xml:space="preserve">0.89</w:t>
            </w:r>
          </w:p>
        </w:tc>
        <w:tc>
          <w:tcPr/>
          <w:p>
            <w:pPr>
              <w:pStyle w:val="Compact"/>
              <w:jc w:val="left"/>
            </w:pPr>
            <w:r>
              <w:t xml:space="preserve">Scope 3 (Categories 4 &amp; 9)</w:t>
            </w:r>
          </w:p>
        </w:tc>
      </w:tr>
      <w:tr>
        <w:tc>
          <w:tcPr/>
          <w:p>
            <w:pPr>
              <w:pStyle w:val="Compact"/>
              <w:jc w:val="left"/>
            </w:pPr>
            <w:r>
              <w:t xml:space="preserve">Use Phase</w:t>
            </w:r>
          </w:p>
        </w:tc>
        <w:tc>
          <w:tcPr/>
          <w:p>
            <w:pPr>
              <w:pStyle w:val="Compact"/>
              <w:jc w:val="left"/>
            </w:pPr>
            <w:r>
              <w:t xml:space="preserve">37.50</w:t>
            </w:r>
          </w:p>
        </w:tc>
        <w:tc>
          <w:tcPr/>
          <w:p>
            <w:pPr>
              <w:pStyle w:val="Compact"/>
              <w:jc w:val="left"/>
            </w:pPr>
            <w:r>
              <w:t xml:space="preserve">Scope 3 (Category 11)</w:t>
            </w:r>
          </w:p>
        </w:tc>
      </w:tr>
      <w:tr>
        <w:tc>
          <w:tcPr/>
          <w:p>
            <w:pPr>
              <w:pStyle w:val="Compact"/>
              <w:jc w:val="left"/>
            </w:pPr>
            <w:r>
              <w:t xml:space="preserve">End-of-Life</w:t>
            </w:r>
          </w:p>
        </w:tc>
        <w:tc>
          <w:tcPr/>
          <w:p>
            <w:pPr>
              <w:pStyle w:val="Compact"/>
              <w:jc w:val="left"/>
            </w:pPr>
            <w:r>
              <w:t xml:space="preserve">-0.44</w:t>
            </w:r>
          </w:p>
        </w:tc>
        <w:tc>
          <w:tcPr/>
          <w:p>
            <w:pPr>
              <w:pStyle w:val="Compact"/>
              <w:jc w:val="left"/>
            </w:pPr>
            <w:r>
              <w:t xml:space="preserve">Scope 3 (Category 12)</w:t>
            </w:r>
          </w:p>
        </w:tc>
      </w:tr>
      <w:tr>
        <w:tc>
          <w:tcPr/>
          <w:p>
            <w:pPr>
              <w:pStyle w:val="Compact"/>
              <w:jc w:val="right"/>
            </w:pPr>
            <w:r>
              <w:rPr>
                <w:bCs/>
                <w:b/>
              </w:rPr>
              <w:t xml:space="preserve">Total Illustrative Product Carbon Footprint:</w:t>
            </w:r>
          </w:p>
        </w:tc>
        <w:tc>
          <w:tcPr/>
          <w:p>
            <w:pPr>
              <w:pStyle w:val="Compact"/>
              <w:jc w:val="left"/>
            </w:pPr>
            <w:r>
              <w:rPr>
                <w:bCs/>
                <w:b/>
              </w:rPr>
              <w:t xml:space="preserve">60.35</w:t>
            </w:r>
          </w:p>
        </w:tc>
        <w:tc>
          <w:tcPr/>
          <w:p>
            <w:pPr>
              <w:pStyle w:val="Compact"/>
            </w:pPr>
          </w:p>
        </w:tc>
      </w:tr>
    </w:tbl>
    <w:p>
      <w:pPr>
        <w:pStyle w:val="BodyText"/>
      </w:pPr>
      <w:r>
        <w:rPr>
          <w:bCs/>
          <w:b/>
        </w:rPr>
        <w:t xml:space="preserve">Total PCF for wzsuspssrg: Approximately 60.35 kgCO2e per 1.0 unit.</w:t>
      </w:r>
    </w:p>
    <w:p>
      <w:pPr>
        <w:pStyle w:val="BodyText"/>
      </w:pPr>
      <w:r>
        <w:rPr>
          <w:bCs/>
          <w:b/>
        </w:rPr>
        <w:t xml:space="preserve">Illustrative Emissions by Scope:</w:t>
      </w:r>
    </w:p>
    <w:p>
      <w:pPr>
        <w:numPr>
          <w:ilvl w:val="0"/>
          <w:numId w:val="1010"/>
        </w:numPr>
        <w:pStyle w:val="Compact"/>
      </w:pPr>
      <w:r>
        <w:rPr>
          <w:bCs/>
          <w:b/>
        </w:rPr>
        <w:t xml:space="preserve">Scope 1:</w:t>
      </w:r>
      <w:r>
        <w:t xml:space="preserve"> </w:t>
      </w:r>
      <w:r>
        <w:t xml:space="preserve">0.00 kgCO2e (Assumed negligible for production in this PCF context without specific fuel consumption data for direct operations).</w:t>
      </w:r>
    </w:p>
    <w:p>
      <w:pPr>
        <w:numPr>
          <w:ilvl w:val="0"/>
          <w:numId w:val="1010"/>
        </w:numPr>
        <w:pStyle w:val="Compact"/>
      </w:pPr>
      <w:r>
        <w:rPr>
          <w:bCs/>
          <w:b/>
        </w:rPr>
        <w:t xml:space="preserve">Scope 2:</w:t>
      </w:r>
      <w:r>
        <w:t xml:space="preserve"> </w:t>
      </w:r>
      <w:r>
        <w:t xml:space="preserve">5.40 kgCO2e (Production electricity).</w:t>
      </w:r>
    </w:p>
    <w:p>
      <w:pPr>
        <w:numPr>
          <w:ilvl w:val="0"/>
          <w:numId w:val="1010"/>
        </w:numPr>
        <w:pStyle w:val="Compact"/>
      </w:pPr>
      <w:r>
        <w:rPr>
          <w:bCs/>
          <w:b/>
        </w:rPr>
        <w:t xml:space="preserve">Scope 3:</w:t>
      </w:r>
      <w:r>
        <w:t xml:space="preserve"> </w:t>
      </w:r>
      <w:r>
        <w:t xml:space="preserve">54.95 kgCO2e (Materials, Transport, Use Phase, End-of-Life).</w:t>
      </w:r>
    </w:p>
    <w:bookmarkEnd w:id="31"/>
    <w:bookmarkEnd w:id="32"/>
    <w:bookmarkStart w:id="33" w:name="review-report"/>
    <w:p>
      <w:pPr>
        <w:pStyle w:val="Heading3"/>
      </w:pPr>
      <w:r>
        <w:t xml:space="preserve">5. Review &amp; Report</w:t>
      </w:r>
    </w:p>
    <w:p>
      <w:pPr>
        <w:pStyle w:val="FirstParagraph"/>
      </w:pPr>
      <w:r>
        <w:t xml:space="preserve">The review process identifies emission hotspots and assesses data reliability. In this illustrative analysis, the Use Phase and Material Acquisition are significant contributors to the overall PCF. Transport also contributes, while End-of-Life can offer a small net benefit through recycling programs. The reliability of these results is contingent on the accuracy and specificity of the underlying data, which for this report, included illustrative figures where placeholders were provided.</w:t>
      </w:r>
    </w:p>
    <w:p>
      <w:pPr>
        <w:pStyle w:val="BodyText"/>
      </w:pPr>
      <w:r>
        <w:t xml:space="preserve">Moving forward, primary data collection for all lifecycle stages, especially for material emission factors, transport details, and actual energy mixes, will significantly enhance the accuracy and robustness of the PCF. Engagement with suppliers and logistics partners is recommended to improve data quality and identify targeted reduction strategies in line with the GHG Protocol\'s push for disaggregated data.</w:t>
      </w:r>
    </w:p>
    <w:p>
      <w:r>
        <w:pict>
          <v:rect style="width:0;height:1.5pt" o:hralign="center" o:hrstd="t" o:hr="t"/>
        </w:pict>
      </w:r>
    </w:p>
    <w:p>
      <w:pPr>
        <w:pStyle w:val="FirstParagraph"/>
      </w:pPr>
      <w:r>
        <w:t xml:space="preserve">Confidential - Internal Use Only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wzsuspssrg</dc:title>
  <dc:creator/>
  <dc:description>High-detail Product Carbon Footprint (PCF) analysis report for wzsuspssrg, following GHG Protocol standards and 2026 updates.</dc:description>
  <dc:language>en</dc:language>
  <cp:keywords/>
  <dcterms:created xsi:type="dcterms:W3CDTF">2026-07-15T10:25:20Z</dcterms:created>
  <dcterms:modified xsi:type="dcterms:W3CDTF">2026-07-15T10:25:20Z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