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wylyjgmupd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wylyjgmupd</w:t>
      </w:r>
    </w:p>
    <w:p>
      <w:pPr>
        <w:pStyle w:val="BodyText"/>
      </w:pPr>
      <w:r>
        <w:t xml:space="preserve">Company Name:</w:t>
      </w:r>
      <w:r>
        <w:t xml:space="preserve"> </w:t>
      </w:r>
      <w:r>
        <w:rPr>
          <w:bCs/>
          <w:b/>
        </w:rPr>
        <w:t xml:space="preserve">ddpgmfrmzq</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wslpxxhffk</w:t>
      </w:r>
    </w:p>
    <w:p>
      <w:pPr>
        <w:pStyle w:val="BodyText"/>
      </w:pPr>
      <w:r>
        <w:t xml:space="preserve">Disclaimer: This report is generated based on available data and industry standards, employing simulated data for placeholders as indicated. For definitive results, primary and verified specific data for all parameters would be required.</w:t>
      </w:r>
    </w:p>
    <w:bookmarkEnd w:id="20"/>
    <w:bookmarkStart w:id="42" w:name="X474e97432961d2a37e4dad420e9ae6fbfbfeec5"/>
    <w:p>
      <w:pPr>
        <w:pStyle w:val="Heading1"/>
      </w:pPr>
      <w:r>
        <w:t xml:space="preserve">Product Carbon Footprint Analysis Report for wylyjgmupd</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wylyjgmupd</w:t>
      </w:r>
      <w:r>
        <w:t xml:space="preserve">, manufactured by</w:t>
      </w:r>
      <w:r>
        <w:t xml:space="preserve"> </w:t>
      </w:r>
      <w:r>
        <w:rPr>
          <w:bCs/>
          <w:b/>
        </w:rPr>
        <w:t xml:space="preserve">ddpgmfrmzq</w:t>
      </w:r>
      <w:r>
        <w:t xml:space="preserve">. The analysis, conducted by Senior Sustainability Consultant</w:t>
      </w:r>
      <w:r>
        <w:t xml:space="preserve"> </w:t>
      </w:r>
      <w:r>
        <w:rPr>
          <w:bCs/>
          <w:b/>
        </w:rPr>
        <w:t xml:space="preserve">wslpxxhffk</w:t>
      </w:r>
      <w:r>
        <w:t xml:space="preserve">, adheres strictly to the GHG Protocol accounting standard, incorporating the 2026 Land Sector and Removals (LSR) Standard update and ensuring comprehensive Scope 3 coverage. The primary system boundary for the PCF calculation is \'factory_gate\', with additional lifecycle stages (Use Phase and End-of-Life) assessed for a complete cradle-to-grave perspective as per report requirements. Key hotspots and recommendations for emissions reduction are identified.</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for</w:t>
      </w:r>
      <w:r>
        <w:t xml:space="preserve"> </w:t>
      </w:r>
      <w:r>
        <w:rPr>
          <w:bCs/>
          <w:b/>
        </w:rPr>
        <w:t xml:space="preserve">wylyjgmupd</w:t>
      </w:r>
      <w:r>
        <w:t xml:space="preserve"> </w:t>
      </w:r>
      <w:r>
        <w:t xml:space="preserve">has been calculated following the five-step GHG Protocol methodology.</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 of wylyjgmupd</w:t>
      </w:r>
      <w:r>
        <w:t xml:space="preserve">.</w:t>
      </w:r>
    </w:p>
    <w:p>
      <w:pPr>
        <w:numPr>
          <w:ilvl w:val="0"/>
          <w:numId w:val="1001"/>
        </w:numPr>
        <w:pStyle w:val="Compact"/>
      </w:pPr>
      <w:r>
        <w:rPr>
          <w:bCs/>
          <w:b/>
        </w:rPr>
        <w:t xml:space="preserve">System Boundary:</w:t>
      </w:r>
      <w:r>
        <w:t xml:space="preserve"> </w:t>
      </w:r>
      <w:r>
        <w:t xml:space="preserve">The primary system boundary for the PCF calculation is</w:t>
      </w:r>
      <w:r>
        <w:t xml:space="preserve"> </w:t>
      </w:r>
      <w:r>
        <w:rPr>
          <w:bCs/>
          <w:b/>
        </w:rPr>
        <w:t xml:space="preserve">factory_gate</w:t>
      </w:r>
      <w:r>
        <w:t xml:space="preserve">, encompassing all emissions from raw material extraction, processing, inbound logistics, and manufacturing up to the point the product leaves the factory. To meet all analysis requirements, additional lifecycle stages including product distribution, use phase, and end-of-life have also been assessed for a holistic cradle-to-grave view, contributing to the overall lifecycle impact analysis, particularly within Scope 3.</w:t>
      </w:r>
    </w:p>
    <w:p>
      <w:pPr>
        <w:numPr>
          <w:ilvl w:val="0"/>
          <w:numId w:val="1001"/>
        </w:numPr>
        <w:pStyle w:val="Compact"/>
      </w:pPr>
      <w:r>
        <w:rPr>
          <w:bCs/>
          <w:b/>
        </w:rPr>
        <w:t xml:space="preserve">Geographic Scope:</w:t>
      </w:r>
      <w:r>
        <w:t xml:space="preserve"> </w:t>
      </w:r>
      <w:r>
        <w:t xml:space="preserve">Final production is located in</w:t>
      </w:r>
      <w:r>
        <w:t xml:space="preserve"> </w:t>
      </w:r>
      <w:r>
        <w:rPr>
          <w:bCs/>
          <w:b/>
        </w:rPr>
        <w:t xml:space="preserve">China</w:t>
      </w:r>
      <w:r>
        <w:t xml:space="preserve">, with a supply chain focus on Europe for inbound materials and initial distribution.</w:t>
      </w:r>
    </w:p>
    <w:p>
      <w:pPr>
        <w:numPr>
          <w:ilvl w:val="0"/>
          <w:numId w:val="1001"/>
        </w:numPr>
        <w:pStyle w:val="Compact"/>
      </w:pPr>
      <w:r>
        <w:rPr>
          <w:bCs/>
          <w:b/>
        </w:rPr>
        <w:t xml:space="preserve">Allocation:</w:t>
      </w:r>
      <w:r>
        <w:t xml:space="preserve"> </w:t>
      </w:r>
      <w:r>
        <w:t xml:space="preserve">As wylyjgmupd is considered a singular product without significant co-products in this analysis, no specific allocation methods for shared processes were deemed necessary. All impacts are directly attributed to the functional unit.</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categorizing emissions into Scope 1, Scope 2, and Scope 3 as defined below.</w:t>
      </w:r>
    </w:p>
    <w:p>
      <w:pPr>
        <w:numPr>
          <w:ilvl w:val="0"/>
          <w:numId w:val="1001"/>
        </w:numPr>
        <w:pStyle w:val="Compact"/>
      </w:pPr>
      <w:r>
        <w:rPr>
          <w:bCs/>
          <w:b/>
        </w:rPr>
        <w:t xml:space="preserve">2026 LSR Update:</w:t>
      </w:r>
      <w:r>
        <w:t xml:space="preserve"> </w:t>
      </w:r>
      <w:r>
        <w:t xml:space="preserve">Consideration for the Land Sector and Removals (LSR) Standard for land use and carbon removals has been integrated where applicable, particularly in assessing raw material sourcing if related to land-intensive activities. For this product, direct land-use change emissions are assumed to be minimal unless specified by primary raw material data.</w:t>
      </w:r>
    </w:p>
    <w:p>
      <w:pPr>
        <w:numPr>
          <w:ilvl w:val="0"/>
          <w:numId w:val="1001"/>
        </w:numPr>
        <w:pStyle w:val="Compact"/>
      </w:pPr>
      <w:r>
        <w:rPr>
          <w:bCs/>
          <w:b/>
        </w:rPr>
        <w:t xml:space="preserve">Scope 3 Compliance:</w:t>
      </w:r>
      <w:r>
        <w:t xml:space="preserve"> </w:t>
      </w:r>
      <w:r>
        <w:t xml:space="preserve">Efforts have been made to ensure at least 95% coverage for Scope 3 reporting, in line with 2026 requirements, by including comprehensive data points across the value chain.</w:t>
      </w:r>
    </w:p>
    <w:bookmarkEnd w:id="22"/>
    <w:bookmarkStart w:id="23" w:name="map-lifecycle-lci-inventory-stages"/>
    <w:p>
      <w:pPr>
        <w:pStyle w:val="Heading3"/>
      </w:pPr>
      <w:r>
        <w:t xml:space="preserve">2.2. Map Lifecycle (LCI Inventory Stages)</w:t>
      </w:r>
    </w:p>
    <w:p>
      <w:pPr>
        <w:pStyle w:val="FirstParagraph"/>
      </w:pPr>
      <w:r>
        <w:t xml:space="preserve">The lifecycle of wylyjgmupd has been mapped into the following stages, facilitating the collection of Life Cycle Inventory (LCI) data:</w:t>
      </w:r>
    </w:p>
    <w:p>
      <w:pPr>
        <w:numPr>
          <w:ilvl w:val="0"/>
          <w:numId w:val="1002"/>
        </w:numPr>
        <w:pStyle w:val="Compact"/>
      </w:pPr>
      <w:r>
        <w:rPr>
          <w:bCs/>
          <w:b/>
        </w:rPr>
        <w:t xml:space="preserve">Raw Material Acquisition &amp; Processing:</w:t>
      </w:r>
      <w:r>
        <w:t xml:space="preserve"> </w:t>
      </w:r>
      <w:r>
        <w:t xml:space="preserve">Extraction and initial processing of all materials listed in the Bill of Materials.</w:t>
      </w:r>
    </w:p>
    <w:p>
      <w:pPr>
        <w:numPr>
          <w:ilvl w:val="0"/>
          <w:numId w:val="1002"/>
        </w:numPr>
        <w:pStyle w:val="Compact"/>
      </w:pPr>
      <w:r>
        <w:rPr>
          <w:bCs/>
          <w:b/>
        </w:rPr>
        <w:t xml:space="preserve">Manufacturing:</w:t>
      </w:r>
      <w:r>
        <w:t xml:space="preserve"> </w:t>
      </w:r>
      <w:r>
        <w:t xml:space="preserve">All production processes at the ddpgmfrmzq factory in China, including energy consumption, waste generation, and on-site emissions.</w:t>
      </w:r>
    </w:p>
    <w:p>
      <w:pPr>
        <w:numPr>
          <w:ilvl w:val="0"/>
          <w:numId w:val="1002"/>
        </w:numPr>
        <w:pStyle w:val="Compact"/>
      </w:pPr>
      <w:r>
        <w:rPr>
          <w:bCs/>
          <w:b/>
        </w:rPr>
        <w:t xml:space="preserve">Transportation (Upstream):</w:t>
      </w:r>
      <w:r>
        <w:t xml:space="preserve"> </w:t>
      </w:r>
      <w:r>
        <w:t xml:space="preserve">Inbound logistics of raw materials from suppliers to the manufacturing facility.</w:t>
      </w:r>
    </w:p>
    <w:p>
      <w:pPr>
        <w:numPr>
          <w:ilvl w:val="0"/>
          <w:numId w:val="1002"/>
        </w:numPr>
        <w:pStyle w:val="Compact"/>
      </w:pPr>
      <w:r>
        <w:rPr>
          <w:bCs/>
          <w:b/>
        </w:rPr>
        <w:t xml:space="preserve">Transportation (Downstream - to Customer):</w:t>
      </w:r>
      <w:r>
        <w:t xml:space="preserve"> </w:t>
      </w:r>
      <w:r>
        <w:t xml:space="preserve">Logistics from the factory gate to regional distribution centers or end-users, focusing on the European market.</w:t>
      </w:r>
    </w:p>
    <w:p>
      <w:pPr>
        <w:numPr>
          <w:ilvl w:val="0"/>
          <w:numId w:val="1002"/>
        </w:numPr>
        <w:pStyle w:val="Compact"/>
      </w:pPr>
      <w:r>
        <w:rPr>
          <w:bCs/>
          <w:b/>
        </w:rPr>
        <w:t xml:space="preserve">Use Phase:</w:t>
      </w:r>
      <w:r>
        <w:t xml:space="preserve"> </w:t>
      </w:r>
      <w:r>
        <w:t xml:space="preserve">Energy consumption by the product during its operational lifespan.</w:t>
      </w:r>
    </w:p>
    <w:p>
      <w:pPr>
        <w:numPr>
          <w:ilvl w:val="0"/>
          <w:numId w:val="1002"/>
        </w:numPr>
        <w:pStyle w:val="Compact"/>
      </w:pPr>
      <w:r>
        <w:rPr>
          <w:bCs/>
          <w:b/>
        </w:rPr>
        <w:t xml:space="preserve">End-of-Life (EoL):</w:t>
      </w:r>
      <w:r>
        <w:t xml:space="preserve"> </w:t>
      </w:r>
      <w:r>
        <w:t xml:space="preserve">Disposal, recycling, and potential recovery of materials at the end of the product\'s useful life.</w:t>
      </w:r>
    </w:p>
    <w:p>
      <w:r>
        <w:pict>
          <v:rect style="width:0;height:1.5pt" o:hralign="center" o:hrstd="t" o:hr="t"/>
        </w:pict>
      </w:r>
    </w:p>
    <w:bookmarkEnd w:id="23"/>
    <w:bookmarkEnd w:id="24"/>
    <w:bookmarkStart w:id="30" w:name="X7b6d01ce7b6bfe45f00681616505557cddf238f"/>
    <w:p>
      <w:pPr>
        <w:pStyle w:val="Heading2"/>
      </w:pPr>
      <w:r>
        <w:t xml:space="preserve">3. Data Collection (Primary/Secondary Data Points)</w:t>
      </w:r>
    </w:p>
    <w:p>
      <w:pPr>
        <w:pStyle w:val="FirstParagraph"/>
      </w:pPr>
      <w:r>
        <w:t xml:space="preserve">Data for this analysis was collected from various sources, incorporating specific parameters provided. Where explicit numerical values were provided as placeholders (e.g., `iwmkgjhq`, `ruzomdunsf`), representative industry-standard values have been simulated for the purpose of demonstrating the calculation methodology. In a real-world scenario, precise primary data for these parameters would be essential for definitive results.</w:t>
      </w:r>
    </w:p>
    <w:bookmarkStart w:id="25" w:name="X3a713dfc0edad36e29c51a1f4439b16d7ddaa44"/>
    <w:p>
      <w:pPr>
        <w:pStyle w:val="Heading3"/>
      </w:pPr>
      <w:r>
        <w:t xml:space="preserve">3.1. Detailed Bill of Materials (BOM) - Simulated from \'iwmkgjhq\'</w:t>
      </w:r>
    </w:p>
    <w:p>
      <w:pPr>
        <w:pStyle w:val="FirstParagraph"/>
      </w:pPr>
      <w:r>
        <w:t xml:space="preserve">The detailed Bill of Materials (BOM) for wylyjgmupd, specified as \'iwmkgjhq\' in the parameters, has been simulated with representative material data. These values are crucial for high-accuracy material impact calculations, replacing general estimates. The \'Total Carbon\' column represents the CO2e associated with the acquisition and processing of each material, calculated as Quantity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Etching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rPr>
          <w:iCs/>
          <w:i/>
        </w:rPr>
        <w:t xml:space="preserve">Note: The above BOM data is illustrative, simulating the structure and values implied by the \'iwmkgjhq\' placeholder.</w:t>
      </w:r>
    </w:p>
    <w:bookmarkEnd w:id="25"/>
    <w:bookmarkStart w:id="26" w:name="transport-logistics"/>
    <w:p>
      <w:pPr>
        <w:pStyle w:val="Heading3"/>
      </w:pPr>
      <w:r>
        <w:t xml:space="preserve">3.2. Transport Logistics</w:t>
      </w:r>
    </w:p>
    <w:p>
      <w:pPr>
        <w:numPr>
          <w:ilvl w:val="0"/>
          <w:numId w:val="1003"/>
        </w:numPr>
        <w:pStyle w:val="Compact"/>
      </w:pPr>
      <w:r>
        <w:rPr>
          <w:bCs/>
          <w:b/>
        </w:rPr>
        <w:t xml:space="preserve">Transport Mode (Inbound &amp; Outbound Primary):</w:t>
      </w:r>
      <w:r>
        <w:t xml:space="preserve"> </w:t>
      </w:r>
      <w:r>
        <w:t xml:space="preserve">Sea Freight (simulated from \'Select Mode\').</w:t>
      </w:r>
    </w:p>
    <w:p>
      <w:pPr>
        <w:numPr>
          <w:ilvl w:val="0"/>
          <w:numId w:val="1003"/>
        </w:numPr>
        <w:pStyle w:val="Compact"/>
      </w:pPr>
      <w:r>
        <w:rPr>
          <w:bCs/>
          <w:b/>
        </w:rPr>
        <w:t xml:space="preserve">Transport Distance (Main Leg):</w:t>
      </w:r>
      <w:r>
        <w:t xml:space="preserve"> </w:t>
      </w:r>
      <w:r>
        <w:t xml:space="preserve">8,000 km (simulated from \'ruzomdunsf\').</w:t>
      </w:r>
    </w:p>
    <w:p>
      <w:pPr>
        <w:numPr>
          <w:ilvl w:val="0"/>
          <w:numId w:val="1003"/>
        </w:numPr>
        <w:pStyle w:val="Compact"/>
      </w:pPr>
      <w:r>
        <w:rPr>
          <w:bCs/>
          <w:b/>
        </w:rPr>
        <w:t xml:space="preserve">Last-Mile Delivery Channel:</w:t>
      </w:r>
      <w:r>
        <w:t xml:space="preserve"> </w:t>
      </w:r>
      <w:r>
        <w:t xml:space="preserve">Road Freight - Light Commercial Vehicle (LCV) (simulated from \'Delivery Type\').</w:t>
      </w:r>
    </w:p>
    <w:p>
      <w:pPr>
        <w:numPr>
          <w:ilvl w:val="0"/>
          <w:numId w:val="1003"/>
        </w:numPr>
        <w:pStyle w:val="Compact"/>
      </w:pPr>
      <w:r>
        <w:rPr>
          <w:bCs/>
          <w:b/>
        </w:rPr>
        <w:t xml:space="preserve">Assumed Freight Weight per unit wylyjgmupd:</w:t>
      </w:r>
      <w:r>
        <w:t xml:space="preserve"> </w:t>
      </w:r>
      <w:r>
        <w:t xml:space="preserve">1 kg (including packaging for transport calculations).</w:t>
      </w:r>
    </w:p>
    <w:bookmarkEnd w:id="26"/>
    <w:bookmarkStart w:id="27" w:name="production-phase-energy"/>
    <w:p>
      <w:pPr>
        <w:pStyle w:val="Heading3"/>
      </w:pPr>
      <w:r>
        <w:t xml:space="preserve">3.3. Production Phase Energy</w:t>
      </w:r>
    </w:p>
    <w:p>
      <w:pPr>
        <w:numPr>
          <w:ilvl w:val="0"/>
          <w:numId w:val="1004"/>
        </w:numPr>
        <w:pStyle w:val="Compact"/>
      </w:pPr>
      <w:r>
        <w:rPr>
          <w:bCs/>
          <w:b/>
        </w:rPr>
        <w:t xml:space="preserve">Renewable Energy Usage:</w:t>
      </w:r>
      <w:r>
        <w:t xml:space="preserve"> </w:t>
      </w:r>
      <w:r>
        <w:t xml:space="preserve">75% (simulated from \'rpfxjymnyn\').</w:t>
      </w:r>
    </w:p>
    <w:p>
      <w:pPr>
        <w:numPr>
          <w:ilvl w:val="0"/>
          <w:numId w:val="1004"/>
        </w:numPr>
        <w:pStyle w:val="Compact"/>
      </w:pPr>
      <w:r>
        <w:rPr>
          <w:bCs/>
          <w:b/>
        </w:rPr>
        <w:t xml:space="preserve">Energy Intensity (kWh/unit):</w:t>
      </w:r>
      <w:r>
        <w:t xml:space="preserve"> </w:t>
      </w:r>
      <w:r>
        <w:t xml:space="preserve">15 kWh/unit (simulated from \'nznvsevvwp\').</w:t>
      </w:r>
    </w:p>
    <w:p>
      <w:pPr>
        <w:numPr>
          <w:ilvl w:val="0"/>
          <w:numId w:val="1004"/>
        </w:numPr>
        <w:pStyle w:val="Compact"/>
      </w:pPr>
      <w:r>
        <w:rPr>
          <w:bCs/>
          <w:b/>
        </w:rPr>
        <w:t xml:space="preserve">Grid Electricity Emission Factor (China):</w:t>
      </w:r>
      <w:r>
        <w:t xml:space="preserve"> </w:t>
      </w:r>
      <w:r>
        <w:t xml:space="preserve">0.6 kgCO2e/kWh (industry standard, specific for China, from sources like Ecoinvent/DEFRA).</w:t>
      </w:r>
    </w:p>
    <w:p>
      <w:pPr>
        <w:numPr>
          <w:ilvl w:val="0"/>
          <w:numId w:val="1004"/>
        </w:numPr>
        <w:pStyle w:val="Compact"/>
      </w:pPr>
      <w:r>
        <w:rPr>
          <w:bCs/>
          <w:b/>
        </w:rPr>
        <w:t xml:space="preserve">Renewable Energy Emission Factor:</w:t>
      </w:r>
      <w:r>
        <w:t xml:space="preserve"> </w:t>
      </w:r>
      <w:r>
        <w:t xml:space="preserve">0.0 kgCO2e/kWh (assuming zero emissions for sourced renewable electricity, based on market-based accounting).</w:t>
      </w:r>
    </w:p>
    <w:bookmarkEnd w:id="27"/>
    <w:bookmarkStart w:id="28"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7 years (simulated from \'npolmmqhyx\').</w:t>
      </w:r>
    </w:p>
    <w:p>
      <w:pPr>
        <w:numPr>
          <w:ilvl w:val="0"/>
          <w:numId w:val="1005"/>
        </w:numPr>
        <w:pStyle w:val="Compact"/>
      </w:pPr>
      <w:r>
        <w:rPr>
          <w:bCs/>
          <w:b/>
        </w:rPr>
        <w:t xml:space="preserve">Energy Consumption in Use:</w:t>
      </w:r>
      <w:r>
        <w:t xml:space="preserve"> </w:t>
      </w:r>
      <w:r>
        <w:t xml:space="preserve">8 kWh/year (simulated from \'rnopsjdzfm\').</w:t>
      </w:r>
    </w:p>
    <w:p>
      <w:pPr>
        <w:numPr>
          <w:ilvl w:val="0"/>
          <w:numId w:val="1005"/>
        </w:numPr>
        <w:pStyle w:val="Compact"/>
      </w:pPr>
      <w:r>
        <w:rPr>
          <w:bCs/>
          <w:b/>
        </w:rPr>
        <w:t xml:space="preserve">Average Grid Electricity Emission Factor (Europe Focus for Use Phase):</w:t>
      </w:r>
      <w:r>
        <w:t xml:space="preserve"> </w:t>
      </w:r>
      <w:r>
        <w:t xml:space="preserve">0.3 kgCO2e/kWh (industry average for European consumption, from sources like Ecoinvent/DEFRA).</w:t>
      </w:r>
    </w:p>
    <w:bookmarkEnd w:id="28"/>
    <w:bookmarkStart w:id="29"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70% (simulated from \'whfdqmxzpi\').</w:t>
      </w:r>
    </w:p>
    <w:p>
      <w:pPr>
        <w:numPr>
          <w:ilvl w:val="0"/>
          <w:numId w:val="1006"/>
        </w:numPr>
        <w:pStyle w:val="Compact"/>
      </w:pPr>
      <w:r>
        <w:rPr>
          <w:bCs/>
          <w:b/>
        </w:rPr>
        <w:t xml:space="preserve">Circular/Take-back Programs:</w:t>
      </w:r>
      <w:r>
        <w:t xml:space="preserve"> </w:t>
      </w:r>
      <w:r>
        <w:t xml:space="preserve">Producer Take-back Program available in key European markets (simulated from \'drrrwkuuhu\'). This program facilitates the collection and recycling/disposal of products at end-of-life.</w:t>
      </w:r>
    </w:p>
    <w:p>
      <w:pPr>
        <w:numPr>
          <w:ilvl w:val="0"/>
          <w:numId w:val="1006"/>
        </w:numPr>
        <w:pStyle w:val="Compact"/>
      </w:pPr>
      <w:r>
        <w:rPr>
          <w:bCs/>
          <w:b/>
        </w:rPr>
        <w:t xml:space="preserve">Disposal (Landfill) Emission Factor:</w:t>
      </w:r>
      <w:r>
        <w:t xml:space="preserve"> </w:t>
      </w:r>
      <w:r>
        <w:t xml:space="preserve">Assumed 0.2 kgCO2e/kg for non-recycled waste (representing landfill emissions, based on industry estimates from sources like Ecoinvent/DEFRA).</w:t>
      </w:r>
    </w:p>
    <w:p>
      <w:pPr>
        <w:numPr>
          <w:ilvl w:val="0"/>
          <w:numId w:val="1006"/>
        </w:numPr>
        <w:pStyle w:val="Compact"/>
      </w:pPr>
      <w:r>
        <w:rPr>
          <w:bCs/>
          <w:b/>
        </w:rPr>
        <w:t xml:space="preserve">Recycling Credit:</w:t>
      </w:r>
      <w:r>
        <w:t xml:space="preserve"> </w:t>
      </w:r>
      <w:r>
        <w:t xml:space="preserve">For the 70% recycled portion, potential avoided emissions from primary material production exist. However, for conservative PCF reporting (as per GHG Protocol recommendations which generally discourage credits without robust additionality and system boundary definitions), this analysis primarily focuses on direct emissions from the non-recycled portion. The presence of circular programs is noted as a mitigation strategy.</w:t>
      </w:r>
    </w:p>
    <w:p>
      <w:r>
        <w:pict>
          <v:rect style="width:0;height:1.5pt" o:hralign="center" o:hrstd="t" o:hr="t"/>
        </w:pict>
      </w:r>
    </w:p>
    <w:bookmarkEnd w:id="29"/>
    <w:bookmarkEnd w:id="30"/>
    <w:bookmarkStart w:id="37"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according to the GHG Protocol\'s Scope 1, Scope 2, and Scope 3. Calculations are based on the functional unit of 1.0 unit of wylyjgmupd.</w:t>
      </w:r>
    </w:p>
    <w:bookmarkStart w:id="31" w:name="scope-1-emissions-direct-emissions"/>
    <w:p>
      <w:pPr>
        <w:pStyle w:val="Heading3"/>
      </w:pPr>
      <w:r>
        <w:t xml:space="preserve">4.1. Scope 1 Emissions (Direct Emissions)</w:t>
      </w:r>
    </w:p>
    <w:p>
      <w:pPr>
        <w:pStyle w:val="FirstParagraph"/>
      </w:pPr>
      <w:r>
        <w:t xml:space="preserve">For a product-level PCF at the \'factory_gate\' boundary, direct emissions typically include on-site fuel combustion from owned or controlled sources. Assuming the primary energy source for manufacturing is electricity, and without specific data for direct fuel combustion (e.g., from company vehicles or stationary combustion), Scope 1 emissions for wylyjgmupd are considered negligible or zero for this analysis.</w:t>
      </w:r>
    </w:p>
    <w:p>
      <w:pPr>
        <w:pStyle w:val="BodyText"/>
      </w:pPr>
      <w:r>
        <w:rPr>
          <w:bCs/>
          <w:b/>
        </w:rPr>
        <w:t xml:space="preserve">Total Scope 1 Emissions: 0.00 kgCO2e</w:t>
      </w:r>
    </w:p>
    <w:bookmarkEnd w:id="31"/>
    <w:bookmarkStart w:id="32"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consumed by the ddpgmfrmzq manufacturing facility in China. These emissions are calculated based on the non-renewable portion of electricity consumption.</w:t>
      </w:r>
    </w:p>
    <w:p>
      <w:pPr>
        <w:numPr>
          <w:ilvl w:val="0"/>
          <w:numId w:val="1007"/>
        </w:numPr>
        <w:pStyle w:val="Compact"/>
      </w:pPr>
      <w:r>
        <w:t xml:space="preserve">Total Energy Intensity: 15 kWh/unit</w:t>
      </w:r>
    </w:p>
    <w:p>
      <w:pPr>
        <w:numPr>
          <w:ilvl w:val="0"/>
          <w:numId w:val="1007"/>
        </w:numPr>
        <w:pStyle w:val="Compact"/>
      </w:pPr>
      <w:r>
        <w:t xml:space="preserve">Renewable Energy Usage: 75%</w:t>
      </w:r>
    </w:p>
    <w:p>
      <w:pPr>
        <w:numPr>
          <w:ilvl w:val="0"/>
          <w:numId w:val="1007"/>
        </w:numPr>
        <w:pStyle w:val="Compact"/>
      </w:pPr>
      <w:r>
        <w:t xml:space="preserve">Non-renewable Electricity consumed per unit: 15 kWh/unit * (1 - 0.75) = 3.75 kWh/unit</w:t>
      </w:r>
    </w:p>
    <w:p>
      <w:pPr>
        <w:numPr>
          <w:ilvl w:val="0"/>
          <w:numId w:val="1007"/>
        </w:numPr>
        <w:pStyle w:val="Compact"/>
      </w:pPr>
      <w:r>
        <w:t xml:space="preserve">Grid Electricity Emission Factor (China): 0.6 kgCO2e/kWh</w:t>
      </w:r>
    </w:p>
    <w:p>
      <w:pPr>
        <w:pStyle w:val="FirstParagraph"/>
      </w:pPr>
      <w:r>
        <w:rPr>
          <w:bCs/>
          <w:b/>
        </w:rPr>
        <w:t xml:space="preserve">Calculation:</w:t>
      </w:r>
    </w:p>
    <w:p>
      <w:pPr>
        <w:pStyle w:val="BodyText"/>
      </w:pPr>
      <w:r>
        <w:t xml:space="preserve">Scope 2 Emissions = Non-renewable Electricity * Grid Electricity Emission Factor (China)</w:t>
      </w:r>
    </w:p>
    <w:p>
      <w:pPr>
        <w:pStyle w:val="BodyText"/>
      </w:pPr>
      <w:r>
        <w:t xml:space="preserve">Scope 2 Emissions = 3.75 kWh/unit * 0.6 kgCO2e/kWh =</w:t>
      </w:r>
      <w:r>
        <w:t xml:space="preserve"> </w:t>
      </w:r>
      <w:r>
        <w:rPr>
          <w:bCs/>
          <w:b/>
        </w:rPr>
        <w:t xml:space="preserve">2.25 kgCO2e</w:t>
      </w:r>
    </w:p>
    <w:bookmarkEnd w:id="32"/>
    <w:bookmarkStart w:id="35"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the reporting company, both upstream and downstream. This analysis ensures comprehensive coverage as per 2026 requirements, with a target of at least 95% coverage.</w:t>
      </w:r>
    </w:p>
    <w:bookmarkStart w:id="33" w:name="upstream-emissions"/>
    <w:p>
      <w:pPr>
        <w:pStyle w:val="Heading4"/>
      </w:pPr>
      <w:r>
        <w:t xml:space="preserve">4.3.1. Upstream Emissions</w:t>
      </w:r>
    </w:p>
    <w:p>
      <w:pPr>
        <w:pStyle w:val="FirstParagraph"/>
      </w:pPr>
      <w:r>
        <w:t xml:space="preserve">These include emissions from purchased goods and services (raw materials) and upstream transportation to the manufacturing facility.</w:t>
      </w:r>
    </w:p>
    <w:p>
      <w:pPr>
        <w:pStyle w:val="BodyText"/>
      </w:pPr>
      <w:r>
        <w:rPr>
          <w:bCs/>
          <w:b/>
        </w:rPr>
        <w:t xml:space="preserve">Category 1: Purchased Goods and Services (Raw Materials)</w:t>
      </w:r>
    </w:p>
    <w:p>
      <w:pPr>
        <w:pStyle w:val="BodyText"/>
      </w:pPr>
      <w:r>
        <w:t xml:space="preserve">Emissions from the extraction, production, and processing of raw materials as detailed in the BOM. These values are directly taken from the simulated \'Total Carbon\' column in the BOM table.</w:t>
      </w:r>
    </w:p>
    <w:p>
      <w:pPr>
        <w:numPr>
          <w:ilvl w:val="0"/>
          <w:numId w:val="1008"/>
        </w:numPr>
        <w:pStyle w:val="Compact"/>
      </w:pPr>
      <w:r>
        <w:t xml:space="preserve">Aluminum Casing: 3.75 kgCO2e</w:t>
      </w:r>
    </w:p>
    <w:p>
      <w:pPr>
        <w:numPr>
          <w:ilvl w:val="0"/>
          <w:numId w:val="1008"/>
        </w:numPr>
        <w:pStyle w:val="Compact"/>
      </w:pPr>
      <w:r>
        <w:t xml:space="preserve">ABS Plastic Components: 0.64 kgCO2e</w:t>
      </w:r>
    </w:p>
    <w:p>
      <w:pPr>
        <w:numPr>
          <w:ilvl w:val="0"/>
          <w:numId w:val="1008"/>
        </w:numPr>
        <w:pStyle w:val="Compact"/>
      </w:pPr>
      <w:r>
        <w:t xml:space="preserve">Printed Circuit Board (PCB): 1.20 kgCO2e</w:t>
      </w:r>
    </w:p>
    <w:p>
      <w:pPr>
        <w:numPr>
          <w:ilvl w:val="0"/>
          <w:numId w:val="1008"/>
        </w:numPr>
        <w:pStyle w:val="Compact"/>
      </w:pPr>
      <w:r>
        <w:t xml:space="preserve">Copper Wire: 0.20 kgCO2e</w:t>
      </w:r>
    </w:p>
    <w:p>
      <w:pPr>
        <w:pStyle w:val="FirstParagraph"/>
      </w:pPr>
      <w:r>
        <w:t xml:space="preserve">Total Material Emissions = 3.75 + 0.64 + 1.20 + 0.20 =</w:t>
      </w:r>
      <w:r>
        <w:t xml:space="preserve"> </w:t>
      </w:r>
      <w:r>
        <w:rPr>
          <w:bCs/>
          <w:b/>
        </w:rPr>
        <w:t xml:space="preserve">5.79 kgCO2e</w:t>
      </w:r>
    </w:p>
    <w:p>
      <w:pPr>
        <w:pStyle w:val="BodyText"/>
      </w:pPr>
      <w:r>
        <w:rPr>
          <w:bCs/>
          <w:b/>
        </w:rPr>
        <w:t xml:space="preserve">Category 4: Upstream Transportation and Distribution</w:t>
      </w:r>
    </w:p>
    <w:p>
      <w:pPr>
        <w:pStyle w:val="BodyText"/>
      </w:pPr>
      <w:r>
        <w:t xml:space="preserve">Emissions from transporting raw materials from suppliers to the manufacturing facility in China. We assume an average inbound transport distance and mode for the collective materials.</w:t>
      </w:r>
    </w:p>
    <w:p>
      <w:pPr>
        <w:numPr>
          <w:ilvl w:val="0"/>
          <w:numId w:val="1009"/>
        </w:numPr>
        <w:pStyle w:val="Compact"/>
      </w:pPr>
      <w:r>
        <w:t xml:space="preserve">Assumed total inbound material weight per unit: 1 kg (approximation for overall component mass)</w:t>
      </w:r>
    </w:p>
    <w:p>
      <w:pPr>
        <w:numPr>
          <w:ilvl w:val="0"/>
          <w:numId w:val="1009"/>
        </w:numPr>
        <w:pStyle w:val="Compact"/>
      </w:pPr>
      <w:r>
        <w:t xml:space="preserve">Average Inbound Transport Distance: 2,000 km (e.g., within Asia, primarily by sea freight for bulk)</w:t>
      </w:r>
    </w:p>
    <w:p>
      <w:pPr>
        <w:numPr>
          <w:ilvl w:val="0"/>
          <w:numId w:val="1009"/>
        </w:numPr>
        <w:pStyle w:val="Compact"/>
      </w:pPr>
      <w:r>
        <w:t xml:space="preserve">Sea Freight Emission Factor: 0.005 kgCO2e/tonne-km (or 0.000005 kgCO2e/kg.km)</w:t>
      </w:r>
    </w:p>
    <w:p>
      <w:pPr>
        <w:pStyle w:val="FirstParagraph"/>
      </w:pPr>
      <w:r>
        <w:t xml:space="preserve">Inbound Transport Emissions = 1 kg * 2,000 km * 0.000005 kgCO2e/kg.km =</w:t>
      </w:r>
      <w:r>
        <w:t xml:space="preserve"> </w:t>
      </w:r>
      <w:r>
        <w:rPr>
          <w:bCs/>
          <w:b/>
        </w:rPr>
        <w:t xml:space="preserve">0.01 kgCO2e</w:t>
      </w:r>
    </w:p>
    <w:p>
      <w:pPr>
        <w:pStyle w:val="BodyText"/>
      </w:pPr>
      <w:r>
        <w:rPr>
          <w:bCs/>
          <w:b/>
        </w:rPr>
        <w:t xml:space="preserve">Subtotal Upstream Emissions (Scope 3) = 5.79 (Materials) + 0.01 (Inbound Transport) = 5.80 kgCO2e</w:t>
      </w:r>
    </w:p>
    <w:bookmarkEnd w:id="33"/>
    <w:bookmarkStart w:id="34" w:name="downstream-emissions"/>
    <w:p>
      <w:pPr>
        <w:pStyle w:val="Heading4"/>
      </w:pPr>
      <w:r>
        <w:t xml:space="preserve">4.3.2. Downstream Emissions</w:t>
      </w:r>
    </w:p>
    <w:p>
      <w:pPr>
        <w:pStyle w:val="FirstParagraph"/>
      </w:pPr>
      <w:r>
        <w:t xml:space="preserve">These include emissions from downstream transportation, the use of sold products, and their end-of-life treatment.</w:t>
      </w:r>
    </w:p>
    <w:p>
      <w:pPr>
        <w:pStyle w:val="BodyText"/>
      </w:pPr>
      <w:r>
        <w:rPr>
          <w:bCs/>
          <w:b/>
        </w:rPr>
        <w:t xml:space="preserve">Category 9: Downstream Transportation and Distribution</w:t>
      </w:r>
    </w:p>
    <w:p>
      <w:pPr>
        <w:pStyle w:val="BodyText"/>
      </w:pPr>
      <w:r>
        <w:t xml:space="preserve">Emissions from transporting the finished product from the factory gate in China to European distribution centers and finally to the customer.</w:t>
      </w:r>
    </w:p>
    <w:p>
      <w:pPr>
        <w:numPr>
          <w:ilvl w:val="0"/>
          <w:numId w:val="1010"/>
        </w:numPr>
        <w:pStyle w:val="Compact"/>
      </w:pPr>
      <w:r>
        <w:t xml:space="preserve">Product Weight: 1 kg (assumed total weight of wylyjgmupd including minimal packaging)</w:t>
      </w:r>
    </w:p>
    <w:p>
      <w:pPr>
        <w:numPr>
          <w:ilvl w:val="0"/>
          <w:numId w:val="1010"/>
        </w:numPr>
        <w:pStyle w:val="Compact"/>
      </w:pPr>
      <w:r>
        <w:t xml:space="preserve">Main Transport (China to Europe): 8,000 km (Sea Freight)</w:t>
      </w:r>
    </w:p>
    <w:p>
      <w:pPr>
        <w:numPr>
          <w:ilvl w:val="0"/>
          <w:numId w:val="1010"/>
        </w:numPr>
        <w:pStyle w:val="Compact"/>
      </w:pPr>
      <w:r>
        <w:t xml:space="preserve">Sea Freight Emission Factor: 0.005 kgCO2e/tonne-km (0.000005 kgCO2e/kg.km)</w:t>
      </w:r>
    </w:p>
    <w:p>
      <w:pPr>
        <w:numPr>
          <w:ilvl w:val="0"/>
          <w:numId w:val="1010"/>
        </w:numPr>
        <w:pStyle w:val="Compact"/>
      </w:pPr>
      <w:r>
        <w:t xml:space="preserve">Last-Mile Delivery (within Europe): 500 km (Road Freight - Light Commercial Vehicle, LCV)</w:t>
      </w:r>
    </w:p>
    <w:p>
      <w:pPr>
        <w:numPr>
          <w:ilvl w:val="0"/>
          <w:numId w:val="1010"/>
        </w:numPr>
        <w:pStyle w:val="Compact"/>
      </w:pPr>
      <w:r>
        <w:t xml:space="preserve">Road Freight LCV Emission Factor: 0.15 kgCO2e/tonne-km (0.00015 kgCO2e/kg.km)</w:t>
      </w:r>
    </w:p>
    <w:p>
      <w:pPr>
        <w:pStyle w:val="FirstParagraph"/>
      </w:pPr>
      <w:r>
        <w:t xml:space="preserve">Main Transport Emissions = 1 kg * 8,000 km * 0.000005 kgCO2e/kg.km = 0.04 kgCO2e</w:t>
      </w:r>
    </w:p>
    <w:p>
      <w:pPr>
        <w:pStyle w:val="BodyText"/>
      </w:pPr>
      <w:r>
        <w:t xml:space="preserve">Last-Mile Delivery Emissions = 1 kg * 500 km * 0.00015 kgCO2e/kg.km = 0.075 kgCO2e</w:t>
      </w:r>
    </w:p>
    <w:p>
      <w:pPr>
        <w:pStyle w:val="BodyText"/>
      </w:pPr>
      <w:r>
        <w:t xml:space="preserve">Total Downstream Transport Emissions = 0.04 + 0.075 =</w:t>
      </w:r>
      <w:r>
        <w:t xml:space="preserve"> </w:t>
      </w:r>
      <w:r>
        <w:rPr>
          <w:bCs/>
          <w:b/>
        </w:rPr>
        <w:t xml:space="preserve">0.115 kgCO2e</w:t>
      </w:r>
    </w:p>
    <w:p>
      <w:pPr>
        <w:pStyle w:val="BodyText"/>
      </w:pPr>
      <w:r>
        <w:rPr>
          <w:bCs/>
          <w:b/>
        </w:rPr>
        <w:t xml:space="preserve">Category 11: Use of Sold Products</w:t>
      </w:r>
    </w:p>
    <w:p>
      <w:pPr>
        <w:pStyle w:val="BodyText"/>
      </w:pPr>
      <w:r>
        <w:t xml:space="preserve">Emissions from the energy consumed by wylyjgmupd during its operational lifespan of 7 years, assuming average European grid electricity.</w:t>
      </w:r>
    </w:p>
    <w:p>
      <w:pPr>
        <w:numPr>
          <w:ilvl w:val="0"/>
          <w:numId w:val="1011"/>
        </w:numPr>
        <w:pStyle w:val="Compact"/>
      </w:pPr>
      <w:r>
        <w:t xml:space="preserve">Product Lifespan: 7 years</w:t>
      </w:r>
    </w:p>
    <w:p>
      <w:pPr>
        <w:numPr>
          <w:ilvl w:val="0"/>
          <w:numId w:val="1011"/>
        </w:numPr>
        <w:pStyle w:val="Compact"/>
      </w:pPr>
      <w:r>
        <w:t xml:space="preserve">Energy Consumption in Use: 8 kWh/year</w:t>
      </w:r>
    </w:p>
    <w:p>
      <w:pPr>
        <w:numPr>
          <w:ilvl w:val="0"/>
          <w:numId w:val="1011"/>
        </w:numPr>
        <w:pStyle w:val="Compact"/>
      </w:pPr>
      <w:r>
        <w:t xml:space="preserve">Average Grid Electricity Emission Factor (Europe): 0.3 kgCO2e/kWh</w:t>
      </w:r>
    </w:p>
    <w:p>
      <w:pPr>
        <w:pStyle w:val="FirstParagraph"/>
      </w:pPr>
      <w:r>
        <w:t xml:space="preserve">Use Phase Emissions = Product Lifespan * Energy Consumption per year * European Grid Emission Factor</w:t>
      </w:r>
    </w:p>
    <w:p>
      <w:pPr>
        <w:pStyle w:val="BodyText"/>
      </w:pPr>
      <w:r>
        <w:t xml:space="preserve">Use Phase Emissions = 7 years * 8 kWh/year * 0.3 kgCO2e/kWh =</w:t>
      </w:r>
      <w:r>
        <w:t xml:space="preserve"> </w:t>
      </w:r>
      <w:r>
        <w:rPr>
          <w:bCs/>
          <w:b/>
        </w:rPr>
        <w:t xml:space="preserve">16.80 kgCO2e</w:t>
      </w:r>
    </w:p>
    <w:p>
      <w:pPr>
        <w:pStyle w:val="BodyText"/>
      </w:pPr>
      <w:r>
        <w:rPr>
          <w:bCs/>
          <w:b/>
        </w:rPr>
        <w:t xml:space="preserve">Category 12: End-of-Life Treatment of Sold Products</w:t>
      </w:r>
    </w:p>
    <w:p>
      <w:pPr>
        <w:pStyle w:val="BodyText"/>
      </w:pPr>
      <w:r>
        <w:t xml:space="preserve">Emissions associated with the disposal and recycling of the product at the end of its life. This calculation focuses on the portion of the product that is not recycled.</w:t>
      </w:r>
    </w:p>
    <w:p>
      <w:pPr>
        <w:numPr>
          <w:ilvl w:val="0"/>
          <w:numId w:val="1012"/>
        </w:numPr>
        <w:pStyle w:val="Compact"/>
      </w:pPr>
      <w:r>
        <w:t xml:space="preserve">Product Weight: 1 kg</w:t>
      </w:r>
    </w:p>
    <w:p>
      <w:pPr>
        <w:numPr>
          <w:ilvl w:val="0"/>
          <w:numId w:val="1012"/>
        </w:numPr>
        <w:pStyle w:val="Compact"/>
      </w:pPr>
      <w:r>
        <w:t xml:space="preserve">Recyclability Percentage: 70%</w:t>
      </w:r>
    </w:p>
    <w:p>
      <w:pPr>
        <w:numPr>
          <w:ilvl w:val="0"/>
          <w:numId w:val="1012"/>
        </w:numPr>
        <w:pStyle w:val="Compact"/>
      </w:pPr>
      <w:r>
        <w:t xml:space="preserve">Non-recycled Portion: 1 kg * (1 - 0.70) = 0.3 kg</w:t>
      </w:r>
    </w:p>
    <w:p>
      <w:pPr>
        <w:numPr>
          <w:ilvl w:val="0"/>
          <w:numId w:val="1012"/>
        </w:numPr>
        <w:pStyle w:val="Compact"/>
      </w:pPr>
      <w:r>
        <w:t xml:space="preserve">Disposal (Landfill) Emission Factor: 0.2 kgCO2e/kg</w:t>
      </w:r>
    </w:p>
    <w:p>
      <w:pPr>
        <w:pStyle w:val="FirstParagraph"/>
      </w:pPr>
      <w:r>
        <w:t xml:space="preserve">EoL Emissions (Disposal) = Non-recycled Portion * Disposal Emission Factor</w:t>
      </w:r>
    </w:p>
    <w:p>
      <w:pPr>
        <w:pStyle w:val="BodyText"/>
      </w:pPr>
      <w:r>
        <w:t xml:space="preserve">EoL Emissions (Disposal) = 0.3 kg * 0.2 kgCO2e/kg =</w:t>
      </w:r>
      <w:r>
        <w:t xml:space="preserve"> </w:t>
      </w:r>
      <w:r>
        <w:rPr>
          <w:bCs/>
          <w:b/>
        </w:rPr>
        <w:t xml:space="preserve">0.06 kgCO2e</w:t>
      </w:r>
    </w:p>
    <w:p>
      <w:pPr>
        <w:pStyle w:val="BodyText"/>
      </w:pPr>
      <w:r>
        <w:rPr>
          <w:iCs/>
          <w:i/>
        </w:rPr>
        <w:t xml:space="preserve">Note: While circular programs (Producer Take-back Program) and recycling generally reduce overall lifecycle impacts, for direct EoL emissions calculation, we quantify emissions from the non-recycled portion. The avoided emissions from recycling are not credited in this primary PCF calculation for conservative reporting but are acknowledged as a significant benefit of circularity.</w:t>
      </w:r>
    </w:p>
    <w:p>
      <w:pPr>
        <w:pStyle w:val="BodyText"/>
      </w:pPr>
      <w:r>
        <w:rPr>
          <w:bCs/>
          <w:b/>
        </w:rPr>
        <w:t xml:space="preserve">Subtotal Downstream Emissions (Scope 3) = 0.115 (Transport) + 16.80 (Use Phase) + 0.06 (EoL) = 16.975 kgCO2e</w:t>
      </w:r>
    </w:p>
    <w:bookmarkEnd w:id="34"/>
    <w:bookmarkEnd w:id="35"/>
    <w:bookmarkStart w:id="36" w:name="Xa72dcac0ec77919288a7b0428b5960a3b59e719"/>
    <w:p>
      <w:pPr>
        <w:pStyle w:val="Heading3"/>
      </w:pPr>
      <w:r>
        <w:t xml:space="preserve">4.4. Total Product Carbon Footprint (PCF) for wylyjgmupd</w:t>
      </w:r>
    </w:p>
    <w:p>
      <w:pPr>
        <w:pStyle w:val="FirstParagraph"/>
      </w:pPr>
      <w:r>
        <w:t xml:space="preserve">The total PCF (Cradle-to-Grave) for 1.0 unit of wylyjgmupd is the sum of emissions across all scopes and lifecycle stages.</w:t>
      </w:r>
    </w:p>
    <w:p>
      <w:pPr>
        <w:numPr>
          <w:ilvl w:val="0"/>
          <w:numId w:val="1013"/>
        </w:numPr>
        <w:pStyle w:val="Compact"/>
      </w:pPr>
      <w:r>
        <w:t xml:space="preserve">Scope 1 Emissions: 0.00 kgCO2e</w:t>
      </w:r>
    </w:p>
    <w:p>
      <w:pPr>
        <w:numPr>
          <w:ilvl w:val="0"/>
          <w:numId w:val="1013"/>
        </w:numPr>
        <w:pStyle w:val="Compact"/>
      </w:pPr>
      <w:r>
        <w:t xml:space="preserve">Scope 2 Emissions: 2.25 kgCO2e</w:t>
      </w:r>
    </w:p>
    <w:p>
      <w:pPr>
        <w:numPr>
          <w:ilvl w:val="0"/>
          <w:numId w:val="1013"/>
        </w:numPr>
        <w:pStyle w:val="Compact"/>
      </w:pPr>
      <w:r>
        <w:t xml:space="preserve">Scope 3 Upstream Emissions: 5.80 kgCO2e</w:t>
      </w:r>
    </w:p>
    <w:p>
      <w:pPr>
        <w:numPr>
          <w:ilvl w:val="0"/>
          <w:numId w:val="1013"/>
        </w:numPr>
        <w:pStyle w:val="Compact"/>
      </w:pPr>
      <w:r>
        <w:t xml:space="preserve">Scope 3 Downstream Emissions: 16.975 kgCO2e</w:t>
      </w:r>
    </w:p>
    <w:p>
      <w:pPr>
        <w:pStyle w:val="FirstParagraph"/>
      </w:pPr>
      <w:r>
        <w:rPr>
          <w:bCs/>
          <w:b/>
        </w:rPr>
        <w:t xml:space="preserve">Total PCF (Cradle-to-Grave) = 0.00 + 2.25 + 5.80 + 16.975 = 25.025 kgCO2e per unit of wylyjgmupd</w:t>
      </w:r>
    </w:p>
    <w:p>
      <w:pPr>
        <w:pStyle w:val="BodyText"/>
      </w:pPr>
      <w:r>
        <w:rPr>
          <w:bCs/>
          <w:b/>
        </w:rPr>
        <w:t xml:space="preserve">Summary of Emissions by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2.25</w:t>
            </w:r>
          </w:p>
        </w:tc>
        <w:tc>
          <w:tcPr/>
          <w:p>
            <w:pPr>
              <w:pStyle w:val="Compact"/>
              <w:jc w:val="left"/>
            </w:pPr>
            <w:r>
              <w:t xml:space="preserve">9.00%</w:t>
            </w:r>
          </w:p>
        </w:tc>
      </w:tr>
      <w:tr>
        <w:tc>
          <w:tcPr/>
          <w:p>
            <w:pPr>
              <w:pStyle w:val="Compact"/>
              <w:jc w:val="left"/>
            </w:pPr>
            <w:r>
              <w:t xml:space="preserve">Scope 3 (Upstream)</w:t>
            </w:r>
          </w:p>
        </w:tc>
        <w:tc>
          <w:tcPr/>
          <w:p>
            <w:pPr>
              <w:pStyle w:val="Compact"/>
              <w:jc w:val="left"/>
            </w:pPr>
            <w:r>
              <w:t xml:space="preserve">Category 1: Purchased Goods &amp; Services (Raw Materials)</w:t>
            </w:r>
          </w:p>
        </w:tc>
        <w:tc>
          <w:tcPr/>
          <w:p>
            <w:pPr>
              <w:pStyle w:val="Compact"/>
              <w:jc w:val="left"/>
            </w:pPr>
            <w:r>
              <w:t xml:space="preserve">5.79</w:t>
            </w:r>
          </w:p>
        </w:tc>
        <w:tc>
          <w:tcPr/>
          <w:p>
            <w:pPr>
              <w:pStyle w:val="Compact"/>
              <w:jc w:val="left"/>
            </w:pPr>
            <w:r>
              <w:t xml:space="preserve">23.14%</w:t>
            </w:r>
          </w:p>
        </w:tc>
      </w:tr>
      <w:tr>
        <w:tc>
          <w:tcPr/>
          <w:p>
            <w:pPr>
              <w:pStyle w:val="Compact"/>
            </w:pPr>
          </w:p>
        </w:tc>
        <w:tc>
          <w:tcPr/>
          <w:p>
            <w:pPr>
              <w:pStyle w:val="Compact"/>
              <w:jc w:val="left"/>
            </w:pPr>
            <w:r>
              <w:t xml:space="preserve">Category 4: Upstream Transportation &amp; Distribution</w:t>
            </w:r>
          </w:p>
        </w:tc>
        <w:tc>
          <w:tcPr/>
          <w:p>
            <w:pPr>
              <w:pStyle w:val="Compact"/>
              <w:jc w:val="left"/>
            </w:pPr>
            <w:r>
              <w:t xml:space="preserve">0.01</w:t>
            </w:r>
          </w:p>
        </w:tc>
        <w:tc>
          <w:tcPr/>
          <w:p>
            <w:pPr>
              <w:pStyle w:val="Compact"/>
              <w:jc w:val="left"/>
            </w:pPr>
            <w:r>
              <w:t xml:space="preserve">0.04%</w:t>
            </w:r>
          </w:p>
        </w:tc>
      </w:tr>
      <w:tr>
        <w:tc>
          <w:tcPr/>
          <w:p>
            <w:pPr>
              <w:pStyle w:val="Compact"/>
              <w:jc w:val="left"/>
            </w:pPr>
            <w:r>
              <w:t xml:space="preserve">Scope 3 (Downstream)</w:t>
            </w:r>
          </w:p>
        </w:tc>
        <w:tc>
          <w:tcPr/>
          <w:p>
            <w:pPr>
              <w:pStyle w:val="Compact"/>
              <w:jc w:val="left"/>
            </w:pPr>
            <w:r>
              <w:t xml:space="preserve">Category 9: Downstream Transportation &amp; Distribution</w:t>
            </w:r>
          </w:p>
        </w:tc>
        <w:tc>
          <w:tcPr/>
          <w:p>
            <w:pPr>
              <w:pStyle w:val="Compact"/>
              <w:jc w:val="left"/>
            </w:pPr>
            <w:r>
              <w:t xml:space="preserve">0.115</w:t>
            </w:r>
          </w:p>
        </w:tc>
        <w:tc>
          <w:tcPr/>
          <w:p>
            <w:pPr>
              <w:pStyle w:val="Compact"/>
              <w:jc w:val="left"/>
            </w:pPr>
            <w:r>
              <w:t xml:space="preserve">0.46%</w:t>
            </w:r>
          </w:p>
        </w:tc>
      </w:tr>
      <w:tr>
        <w:tc>
          <w:tcPr/>
          <w:p>
            <w:pPr>
              <w:pStyle w:val="Compact"/>
            </w:pPr>
          </w:p>
        </w:tc>
        <w:tc>
          <w:tcPr/>
          <w:p>
            <w:pPr>
              <w:pStyle w:val="Compact"/>
              <w:jc w:val="left"/>
            </w:pPr>
            <w:r>
              <w:t xml:space="preserve">Category 11: Use of Sold Products</w:t>
            </w:r>
          </w:p>
        </w:tc>
        <w:tc>
          <w:tcPr/>
          <w:p>
            <w:pPr>
              <w:pStyle w:val="Compact"/>
              <w:jc w:val="left"/>
            </w:pPr>
            <w:r>
              <w:t xml:space="preserve">16.80</w:t>
            </w:r>
          </w:p>
        </w:tc>
        <w:tc>
          <w:tcPr/>
          <w:p>
            <w:pPr>
              <w:pStyle w:val="Compact"/>
              <w:jc w:val="left"/>
            </w:pPr>
            <w:r>
              <w:t xml:space="preserve">67.14%</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0.06</w:t>
            </w:r>
          </w:p>
        </w:tc>
        <w:tc>
          <w:tcPr/>
          <w:p>
            <w:pPr>
              <w:pStyle w:val="Compact"/>
              <w:jc w:val="left"/>
            </w:pPr>
            <w:r>
              <w:t xml:space="preserve">0.24%</w:t>
            </w:r>
          </w:p>
        </w:tc>
      </w:tr>
      <w:tr>
        <w:tc>
          <w:tcPr>
            <w:gridSpan w:val="2"/>
          </w:tcPr>
          <w:p>
            <w:pPr>
              <w:pStyle w:val="Compact"/>
              <w:jc w:val="left"/>
            </w:pPr>
            <w:r>
              <w:rPr>
                <w:bCs/>
                <w:b/>
              </w:rPr>
              <w:t xml:space="preserve">Total PCF (Cradle-to-Grave)</w:t>
            </w:r>
          </w:p>
        </w:tc>
        <w:tc>
          <w:tcPr/>
          <w:p>
            <w:pPr>
              <w:pStyle w:val="Compact"/>
              <w:jc w:val="left"/>
            </w:pPr>
            <w:r>
              <w:rPr>
                <w:bCs/>
                <w:b/>
              </w:rPr>
              <w:t xml:space="preserve">25.025</w:t>
            </w:r>
          </w:p>
        </w:tc>
        <w:tc>
          <w:tcPr/>
          <w:p>
            <w:pPr>
              <w:pStyle w:val="Compact"/>
              <w:jc w:val="left"/>
            </w:pPr>
            <w:r>
              <w:rPr>
                <w:bCs/>
                <w:b/>
              </w:rPr>
              <w:t xml:space="preserve">100.00%</w:t>
            </w:r>
          </w:p>
        </w:tc>
      </w:tr>
    </w:tbl>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detailed PCF analysis for wylyjgmupd, the primary emission hotspots across its lifecycle are:</w:t>
      </w:r>
    </w:p>
    <w:p>
      <w:pPr>
        <w:numPr>
          <w:ilvl w:val="0"/>
          <w:numId w:val="1014"/>
        </w:numPr>
        <w:pStyle w:val="Compact"/>
      </w:pPr>
      <w:r>
        <w:rPr>
          <w:bCs/>
          <w:b/>
        </w:rPr>
        <w:t xml:space="preserve">Use Phase (67.14%):</w:t>
      </w:r>
      <w:r>
        <w:t xml:space="preserve"> </w:t>
      </w:r>
      <w:r>
        <w:t xml:space="preserve">The energy consumed by the product during its 7-year operational lifespan is by far the most significant contributor to its overall carbon footprint. This highlights the critical importance of designing for energy efficiency.</w:t>
      </w:r>
    </w:p>
    <w:p>
      <w:pPr>
        <w:numPr>
          <w:ilvl w:val="0"/>
          <w:numId w:val="1014"/>
        </w:numPr>
        <w:pStyle w:val="Compact"/>
      </w:pPr>
      <w:r>
        <w:rPr>
          <w:bCs/>
          <w:b/>
        </w:rPr>
        <w:t xml:space="preserve">Raw Materials (23.14%):</w:t>
      </w:r>
      <w:r>
        <w:t xml:space="preserve"> </w:t>
      </w:r>
      <w:r>
        <w:t xml:space="preserve">The emissions associated with the extraction, processing, and production of raw materials, particularly aluminum and electronic components, represent the second largest impact. This indicates substantial opportunities for material optimization, increased use of recycled content, or exploring lower-impact alternative materials.</w:t>
      </w:r>
    </w:p>
    <w:p>
      <w:pPr>
        <w:numPr>
          <w:ilvl w:val="0"/>
          <w:numId w:val="1014"/>
        </w:numPr>
        <w:pStyle w:val="Compact"/>
      </w:pPr>
      <w:r>
        <w:rPr>
          <w:bCs/>
          <w:b/>
        </w:rPr>
        <w:t xml:space="preserve">Manufacturing (Scope 2 - 9.00%):</w:t>
      </w:r>
      <w:r>
        <w:t xml:space="preserve"> </w:t>
      </w:r>
      <w:r>
        <w:t xml:space="preserve">While ddpgmfrmzq\'s manufacturing facility in China benefits from 75% renewable energy usage, the remaining 25% from the grid still contributes a notable portion to the product\'s footprint. Further increasing renewable energy sourcing or implementing more energy-efficient production processes could significantly reduce this impact.</w:t>
      </w:r>
    </w:p>
    <w:p>
      <w:pPr>
        <w:numPr>
          <w:ilvl w:val="0"/>
          <w:numId w:val="1014"/>
        </w:numPr>
        <w:pStyle w:val="Compact"/>
      </w:pPr>
      <w:r>
        <w:rPr>
          <w:bCs/>
          <w:b/>
        </w:rPr>
        <w:t xml:space="preserve">Transportation (Upstream &amp; Downstream - ~0.5%):</w:t>
      </w:r>
      <w:r>
        <w:t xml:space="preserve"> </w:t>
      </w:r>
      <w:r>
        <w:t xml:space="preserve">While not a primary hotspot for this product, optimizing logistics chains, choosing more efficient transport modes, or localizing supply chains could offer marginal reductions.</w:t>
      </w:r>
    </w:p>
    <w:p>
      <w:pPr>
        <w:numPr>
          <w:ilvl w:val="0"/>
          <w:numId w:val="1014"/>
        </w:numPr>
        <w:pStyle w:val="Compact"/>
      </w:pPr>
      <w:r>
        <w:rPr>
          <w:bCs/>
          <w:b/>
        </w:rPr>
        <w:t xml:space="preserve">End-of-Life (0.24%):</w:t>
      </w:r>
      <w:r>
        <w:t xml:space="preserve"> </w:t>
      </w:r>
      <w:r>
        <w:t xml:space="preserve">The direct emissions from the disposal of the non-recycled portion are relatively low but indicate room for improvement through enhanced recycling infrastructure and take-back programs.</w:t>
      </w:r>
    </w:p>
    <w:bookmarkEnd w:id="38"/>
    <w:bookmarkStart w:id="39" w:name="reliability-and-limitations"/>
    <w:p>
      <w:pPr>
        <w:pStyle w:val="Heading3"/>
      </w:pPr>
      <w:r>
        <w:t xml:space="preserve">5.2. Reliability and Limitations</w:t>
      </w:r>
    </w:p>
    <w:p>
      <w:pPr>
        <w:pStyle w:val="FirstParagraph"/>
      </w:pPr>
      <w:r>
        <w:t xml:space="preserve">The reliability of this Product Carbon Footprint report is intrinsically linked to the accuracy and representativeness of the input data. Key considerations and limitations include:</w:t>
      </w:r>
    </w:p>
    <w:p>
      <w:pPr>
        <w:numPr>
          <w:ilvl w:val="0"/>
          <w:numId w:val="1015"/>
        </w:numPr>
        <w:pStyle w:val="Compact"/>
      </w:pPr>
      <w:r>
        <w:rPr>
          <w:bCs/>
          <w:b/>
        </w:rPr>
        <w:t xml:space="preserve">Data Simulation:</w:t>
      </w:r>
      <w:r>
        <w:t xml:space="preserve"> </w:t>
      </w:r>
      <w:r>
        <w:t xml:space="preserve">Several parameters were provided as generic placeholders (e.g., `iwmkgjhq`, `ruzomdunsf`, `rpfxjymnyn`, `nznvsevvwp`, `npolmmqhyx`, `rnopsjdzfm`, `whfdqmxzpi`, `drrrwkuuhu`). For these, representative industry-standard numerical values and descriptions were simulated and clearly indicated in the report. In a definitive professional assessment, primary, site-specific, and verified data for all parameters would be crucial for achieving the highest level of accuracy and certainty.</w:t>
      </w:r>
    </w:p>
    <w:p>
      <w:pPr>
        <w:numPr>
          <w:ilvl w:val="0"/>
          <w:numId w:val="1015"/>
        </w:numPr>
        <w:pStyle w:val="Compact"/>
      </w:pPr>
      <w:r>
        <w:rPr>
          <w:bCs/>
          <w:b/>
        </w:rPr>
        <w:t xml:space="preserve">Emission Factors:</w:t>
      </w:r>
      <w:r>
        <w:t xml:space="preserve"> </w:t>
      </w:r>
      <w:r>
        <w:t xml:space="preserve">Generic industry-average emission factors (e.g., from databases like Ecoinvent or DEFRA equivalents) were utilized for processes such as electricity generation, transport, and material production. Product-specific or supplier-specific emission factors, obtained directly from the supply chain, would significantly enhance the precision of the calculations.</w:t>
      </w:r>
    </w:p>
    <w:p>
      <w:pPr>
        <w:numPr>
          <w:ilvl w:val="0"/>
          <w:numId w:val="1015"/>
        </w:numPr>
        <w:pStyle w:val="Compact"/>
      </w:pPr>
      <w:r>
        <w:rPr>
          <w:bCs/>
          <w:b/>
        </w:rPr>
        <w:t xml:space="preserve">System Boundary Interpretation:</w:t>
      </w:r>
      <w:r>
        <w:t xml:space="preserve"> </w:t>
      </w:r>
      <w:r>
        <w:t xml:space="preserve">While the primary PCF boundary was defined as \'factory_gate\', a comprehensive lifecycle (cradle-to-grave) assessment was performed to fulfill all report requirements, including use phase and end-of-life impacts. Clear delineation and consistent application of these boundaries are essential for transparent reporting and comparative analysis.</w:t>
      </w:r>
    </w:p>
    <w:p>
      <w:pPr>
        <w:numPr>
          <w:ilvl w:val="0"/>
          <w:numId w:val="1015"/>
        </w:numPr>
        <w:pStyle w:val="Compact"/>
      </w:pPr>
      <w:r>
        <w:rPr>
          <w:bCs/>
          <w:b/>
        </w:rPr>
        <w:t xml:space="preserve">LSR Standard Application:</w:t>
      </w:r>
      <w:r>
        <w:t xml:space="preserve"> </w:t>
      </w:r>
      <w:r>
        <w:t xml:space="preserve">The 2026 Land Sector and Removals (LSR) Standard was acknowledged. However, without specific, granular land-use data related to the sourcing of raw materials, direct quantification of carbon removals or land-use change emissions specific to wylyjgmupd was not feasible within the scope of this analysis. Its consideration is primarily qualitative based on standard material origins.</w:t>
      </w:r>
    </w:p>
    <w:p>
      <w:pPr>
        <w:numPr>
          <w:ilvl w:val="0"/>
          <w:numId w:val="1015"/>
        </w:numPr>
        <w:pStyle w:val="Compact"/>
      </w:pPr>
      <w:r>
        <w:rPr>
          <w:bCs/>
          <w:b/>
        </w:rPr>
        <w:t xml:space="preserve">Scope 3 Coverage:</w:t>
      </w:r>
      <w:r>
        <w:t xml:space="preserve"> </w:t>
      </w:r>
      <w:r>
        <w:t xml:space="preserve">While the analysis aimed for over 95% Scope 3 coverage, the comprehensiveness is inherently limited by the granularity and availability of activity data across all upstream and downstream categories. Assumptions were made where specific data was absent.</w:t>
      </w:r>
    </w:p>
    <w:bookmarkEnd w:id="39"/>
    <w:bookmarkStart w:id="40" w:name="recommendations-for-emission-reduction"/>
    <w:p>
      <w:pPr>
        <w:pStyle w:val="Heading3"/>
      </w:pPr>
      <w:r>
        <w:t xml:space="preserve">5.3. Recommendations for Emission Reduction</w:t>
      </w:r>
    </w:p>
    <w:p>
      <w:pPr>
        <w:pStyle w:val="FirstParagraph"/>
      </w:pPr>
      <w:r>
        <w:t xml:space="preserve">To effectively reduce the carbon footprint of wylyjgmupd, ddpgmfrmzq should consider focusing on the following strategic areas:</w:t>
      </w:r>
    </w:p>
    <w:p>
      <w:pPr>
        <w:numPr>
          <w:ilvl w:val="0"/>
          <w:numId w:val="1016"/>
        </w:numPr>
        <w:pStyle w:val="Compact"/>
      </w:pPr>
      <w:r>
        <w:rPr>
          <w:bCs/>
          <w:b/>
        </w:rPr>
        <w:t xml:space="preserve">Enhance Energy Efficiency in Use Phase:</w:t>
      </w:r>
      <w:r>
        <w:t xml:space="preserve"> </w:t>
      </w:r>
      <w:r>
        <w:t xml:space="preserve">Given that the use phase is the largest hotspot, prioritize research and development to significantly improve the energy efficiency of wylyjgmupd during its operational life. This could involve design changes, software optimizations, or offering lower-power modes.</w:t>
      </w:r>
    </w:p>
    <w:p>
      <w:pPr>
        <w:numPr>
          <w:ilvl w:val="0"/>
          <w:numId w:val="1016"/>
        </w:numPr>
        <w:pStyle w:val="Compact"/>
      </w:pPr>
      <w:r>
        <w:rPr>
          <w:bCs/>
          <w:b/>
        </w:rPr>
        <w:t xml:space="preserve">Optimize Material Selection and Circularity:</w:t>
      </w:r>
      <w:r>
        <w:t xml:space="preserve"> </w:t>
      </w:r>
      <w:r>
        <w:t xml:space="preserve">Explore alternative, lower-carbon materials for product components. Increase the proportion of recycled content (e.g., recycled aluminum, post-consumer plastics) in the Bill of Materials. Investigate design for disassembly and modularity to facilitate repair, reuse, and recycling.</w:t>
      </w:r>
    </w:p>
    <w:p>
      <w:pPr>
        <w:numPr>
          <w:ilvl w:val="0"/>
          <w:numId w:val="1016"/>
        </w:numPr>
        <w:pStyle w:val="Compact"/>
      </w:pPr>
      <w:r>
        <w:rPr>
          <w:bCs/>
          <w:b/>
        </w:rPr>
        <w:t xml:space="preserve">Increase Renewable Energy Procurement in Manufacturing:</w:t>
      </w:r>
      <w:r>
        <w:t xml:space="preserve"> </w:t>
      </w:r>
      <w:r>
        <w:t xml:space="preserve">Further increase the share of renewable energy utilized in the manufacturing facility, aiming for 100% renewable electricity procurement to eliminate Scope 2 emissions. This could involve direct investments in renewables or purchasing high-quality renewable energy certificates.</w:t>
      </w:r>
    </w:p>
    <w:p>
      <w:pPr>
        <w:numPr>
          <w:ilvl w:val="0"/>
          <w:numId w:val="1016"/>
        </w:numPr>
        <w:pStyle w:val="Compact"/>
      </w:pPr>
      <w:r>
        <w:rPr>
          <w:bCs/>
          <w:b/>
        </w:rPr>
        <w:t xml:space="preserve">Strengthen Circular Economy Programs:</w:t>
      </w:r>
      <w:r>
        <w:t xml:space="preserve"> </w:t>
      </w:r>
      <w:r>
        <w:t xml:space="preserve">Expand and promote existing producer take-back programs (\'drrrwkuuhu\') to ensure a higher percentage of products are effectively collected, refurbished, recycled, or responsibly disposed of at their end-of-life, thereby reducing waste and conserving resources.</w:t>
      </w:r>
    </w:p>
    <w:p>
      <w:pPr>
        <w:numPr>
          <w:ilvl w:val="0"/>
          <w:numId w:val="1016"/>
        </w:numPr>
        <w:pStyle w:val="Compact"/>
      </w:pPr>
      <w:r>
        <w:rPr>
          <w:bCs/>
          <w:b/>
        </w:rPr>
        <w:t xml:space="preserve">Engage Supply Chain for Upstream Reductions:</w:t>
      </w:r>
      <w:r>
        <w:t xml:space="preserve"> </w:t>
      </w:r>
      <w:r>
        <w:t xml:space="preserve">Collaborate actively with key raw material suppliers to identify and implement opportunities for reducing emissions in their production processes, which directly impacts Scope 3 Category 1 emissions.</w:t>
      </w:r>
    </w:p>
    <w:p>
      <w:pPr>
        <w:numPr>
          <w:ilvl w:val="0"/>
          <w:numId w:val="1016"/>
        </w:numPr>
        <w:pStyle w:val="Compact"/>
      </w:pPr>
      <w:r>
        <w:rPr>
          <w:bCs/>
          <w:b/>
        </w:rPr>
        <w:t xml:space="preserve">Logistics Optimization:</w:t>
      </w:r>
      <w:r>
        <w:t xml:space="preserve"> </w:t>
      </w:r>
      <w:r>
        <w:t xml:space="preserve">Continuously optimize transportation routes and modes, particularly for long-haul and last-mile delivery, to reduce fuel consumption and associated emissions.</w:t>
      </w:r>
    </w:p>
    <w:p>
      <w:r>
        <w:pict>
          <v:rect style="width:0;height:1.5pt" o:hralign="center" o:hrstd="t" o:hr="t"/>
        </w:pict>
      </w:r>
    </w:p>
    <w:p>
      <w:pPr>
        <w:pStyle w:val="FirstParagraph"/>
      </w:pPr>
      <w:r>
        <w:t xml:space="preserve">Confidential - Internal Use Only</w:t>
      </w:r>
    </w:p>
    <w:p>
      <w:pPr>
        <w:pStyle w:val="BodyText"/>
      </w:pPr>
      <w:r>
        <w:t xml:space="preserve">This report does not include dynamic page numbering but is formatted for print on A4 size paper.</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wylyjgmupd</dc:title>
  <dc:creator/>
  <dc:description>Product Carbon Footprint (PCF) analysis report for wylyjgmupd, conducted by Senior Sustainability Consultant wslpxxhffk for company ddpgmfrmzq, adhering to GHG Protocol standards including 2026 LSR update and comprehensive Scope 3 coverage.</dc:description>
  <cp:keywords/>
  <dcterms:created xsi:type="dcterms:W3CDTF">2026-07-15T05:27:59Z</dcterms:created>
  <dcterms:modified xsi:type="dcterms:W3CDTF">2026-07-15T05:27:59Z</dcterms:modified>
</cp:coreProperties>
</file>

<file path=docProps/custom.xml><?xml version="1.0" encoding="utf-8"?>
<Properties xmlns="http://schemas.openxmlformats.org/officeDocument/2006/custom-properties" xmlns:vt="http://schemas.openxmlformats.org/officeDocument/2006/docPropsVTypes"/>
</file>