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wuftxksvsl</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w:t>
      </w:r>
      <w:r>
        <w:t xml:space="preserve"> </w:t>
      </w:r>
      <w:r>
        <w:rPr>
          <w:bCs/>
          <w:b/>
        </w:rPr>
        <w:t xml:space="preserve">wuftxksvsl</w:t>
      </w:r>
    </w:p>
    <w:p>
      <w:pPr>
        <w:pStyle w:val="BodyText"/>
      </w:pPr>
      <w:r>
        <w:t xml:space="preserve">Company:</w:t>
      </w:r>
      <w:r>
        <w:t xml:space="preserve"> </w:t>
      </w:r>
      <w:r>
        <w:rPr>
          <w:bCs/>
          <w:b/>
        </w:rPr>
        <w:t xml:space="preserve">giivmyoxwz</w:t>
      </w:r>
    </w:p>
    <w:p>
      <w:pPr>
        <w:pStyle w:val="BodyText"/>
      </w:pPr>
      <w:r>
        <w:t xml:space="preserve">Senior Sustainability Consultant:</w:t>
      </w:r>
      <w:r>
        <w:t xml:space="preserve"> </w:t>
      </w:r>
      <w:r>
        <w:rPr>
          <w:bCs/>
          <w:b/>
        </w:rPr>
        <w:t xml:space="preserve">njmuivmxdp</w:t>
      </w:r>
    </w:p>
    <w:p>
      <w:pPr>
        <w:pStyle w:val="BodyText"/>
      </w:pPr>
      <w:r>
        <w:t xml:space="preserve">Accounting Standard:</w:t>
      </w:r>
      <w:r>
        <w:t xml:space="preserve"> </w:t>
      </w:r>
      <w:r>
        <w:rPr>
          <w:bCs/>
          <w:b/>
        </w:rPr>
        <w:t xml:space="preserve">GHG Protocol</w:t>
      </w:r>
    </w:p>
    <w:p>
      <w:pPr>
        <w:pStyle w:val="BodyText"/>
      </w:pPr>
      <w:r>
        <w:t xml:space="preserve">This report is generated based on available data and industry standards, supplemented by illustrative emission factors. While every effort has been made to ensure accuracy and adherence to methodological requirements, it provides an estimate of the product\'s carbon footprint and should be used for informational purposes and strategic decision-making. A full assessment would integrate with comprehensive, up-to-date, and region-specific lifecycle inventory databases.</w:t>
      </w:r>
    </w:p>
    <w:bookmarkEnd w:id="20"/>
    <w:bookmarkStart w:id="21" w:name="X3c26619a6f2c1406dece5adbdc985da7efb50b6"/>
    <w:p>
      <w:pPr>
        <w:pStyle w:val="Heading1"/>
      </w:pPr>
      <w:r>
        <w:t xml:space="preserve">Product Carbon Footprint Report for wuftxksvsl</w:t>
      </w:r>
    </w:p>
    <w:p>
      <w:pPr>
        <w:pStyle w:val="FirstParagraph"/>
      </w:pPr>
      <w:r>
        <w:t xml:space="preserve">Generated Date: May 25, 2026</w:t>
      </w:r>
    </w:p>
    <w:p>
      <w:pPr>
        <w:pStyle w:val="BodyText"/>
      </w:pPr>
      <w:r>
        <w:t xml:space="preserve">Senior Sustainability Consultant: njmuivmxdp</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wuftxksvsl</w:t>
      </w:r>
      <w:r>
        <w:t xml:space="preserve">, manufactured by</w:t>
      </w:r>
      <w:r>
        <w:t xml:space="preserve"> </w:t>
      </w:r>
      <w:r>
        <w:rPr>
          <w:bCs/>
          <w:b/>
        </w:rPr>
        <w:t xml:space="preserve">giivmyoxwz</w:t>
      </w:r>
      <w:r>
        <w:t xml:space="preserve">. The analysis adheres to the Greenhouse Gas (GHG) Protocol, including the 2026 Land Sector and Removals (LSR) Standard update, and aims for at least 95% coverage for Scope 3 reporting. The study quantifies the greenhouse gas emissions associated with the product\'s lifecycle, from raw material extraction to end-of-life, providing insights into emission hotspots and opportunities for reduction.</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PCF analysis is</w:t>
      </w:r>
      <w:r>
        <w:t xml:space="preserve"> </w:t>
      </w:r>
      <w:r>
        <w:rPr>
          <w:bCs/>
          <w:b/>
        </w:rPr>
        <w:t xml:space="preserve">1.0 unit of wuftxksvsl</w:t>
      </w:r>
      <w:r>
        <w:t xml:space="preserve">. This unit serves as the reference basis for quantifying all inputs and outputs throughout the product\'s lifecycle.</w:t>
      </w:r>
    </w:p>
    <w:bookmarkEnd w:id="23"/>
    <w:bookmarkStart w:id="24"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w:t>
      </w:r>
      <w:r>
        <w:t xml:space="preserve">for direct operational emissions (Scope 1 &amp; Scope 2), but extends to include a comprehensive "cradle-to-grave" assessment for upstream and downstream value chain emissions (Scope 3) as per GHG Protocol product standard requirements [3, 4, 8]. This includes:</w:t>
      </w:r>
    </w:p>
    <w:p>
      <w:pPr>
        <w:numPr>
          <w:ilvl w:val="0"/>
          <w:numId w:val="1001"/>
        </w:numPr>
        <w:pStyle w:val="Compact"/>
      </w:pPr>
      <w:r>
        <w:t xml:space="preserve">Raw material acquisition and pre-processing</w:t>
      </w:r>
    </w:p>
    <w:p>
      <w:pPr>
        <w:numPr>
          <w:ilvl w:val="0"/>
          <w:numId w:val="1001"/>
        </w:numPr>
        <w:pStyle w:val="Compact"/>
      </w:pPr>
      <w:r>
        <w:t xml:space="preserve">Manufacturing at</w:t>
      </w:r>
      <w:r>
        <w:t xml:space="preserve"> </w:t>
      </w:r>
      <w:r>
        <w:rPr>
          <w:bCs/>
          <w:b/>
        </w:rPr>
        <w:t xml:space="preserve">giivmyoxwz\'s</w:t>
      </w:r>
      <w:r>
        <w:t xml:space="preserve"> </w:t>
      </w:r>
      <w:r>
        <w:t xml:space="preserve">facilities (Scope 1 and 2)</w:t>
      </w:r>
    </w:p>
    <w:p>
      <w:pPr>
        <w:numPr>
          <w:ilvl w:val="0"/>
          <w:numId w:val="1001"/>
        </w:numPr>
        <w:pStyle w:val="Compact"/>
      </w:pPr>
      <w:r>
        <w:t xml:space="preserve">Transportation of raw materials and finished goods</w:t>
      </w:r>
    </w:p>
    <w:p>
      <w:pPr>
        <w:numPr>
          <w:ilvl w:val="0"/>
          <w:numId w:val="1001"/>
        </w:numPr>
        <w:pStyle w:val="Compact"/>
      </w:pPr>
      <w:r>
        <w:t xml:space="preserve">Product use phase</w:t>
      </w:r>
    </w:p>
    <w:p>
      <w:pPr>
        <w:numPr>
          <w:ilvl w:val="0"/>
          <w:numId w:val="1001"/>
        </w:numPr>
        <w:pStyle w:val="Compact"/>
      </w:pPr>
      <w:r>
        <w:t xml:space="preserve">End-of-life treatment (disposal and recycling)</w:t>
      </w:r>
    </w:p>
    <w:bookmarkEnd w:id="24"/>
    <w:bookmarkStart w:id="25" w:name="geographic-scope"/>
    <w:p>
      <w:pPr>
        <w:pStyle w:val="Heading3"/>
      </w:pPr>
      <w:r>
        <w:t xml:space="preserve">1.3 Geographic Scope</w:t>
      </w:r>
    </w:p>
    <w:p>
      <w:pPr>
        <w:pStyle w:val="FirstParagraph"/>
      </w:pPr>
      <w:r>
        <w:t xml:space="preserve">The final production country is</w:t>
      </w:r>
      <w:r>
        <w:t xml:space="preserve"> </w:t>
      </w:r>
      <w:r>
        <w:rPr>
          <w:bCs/>
          <w:b/>
        </w:rPr>
        <w:t xml:space="preserve">China</w:t>
      </w:r>
      <w:r>
        <w:t xml:space="preserve">, with a primary supply chain focus on</w:t>
      </w:r>
      <w:r>
        <w:t xml:space="preserve"> </w:t>
      </w:r>
      <w:r>
        <w:rPr>
          <w:bCs/>
          <w:b/>
        </w:rPr>
        <w:t xml:space="preserve">Europe Focused</w:t>
      </w:r>
      <w:r>
        <w:t xml:space="preserve">. This geographic scope influences the selection of regional electricity grid emission factors, transportation distances, and specific material sourcing data.</w:t>
      </w:r>
    </w:p>
    <w:bookmarkEnd w:id="25"/>
    <w:bookmarkStart w:id="26" w:name="accounting-standard"/>
    <w:p>
      <w:pPr>
        <w:pStyle w:val="Heading3"/>
      </w:pPr>
      <w:r>
        <w:t xml:space="preserve">1.4 Accounting Standard</w:t>
      </w:r>
    </w:p>
    <w:p>
      <w:pPr>
        <w:pStyle w:val="FirstParagraph"/>
      </w:pPr>
      <w:r>
        <w:t xml:space="preserve">This Product Carbon Footprint analysis is conducted in accordance with the</w:t>
      </w:r>
      <w:r>
        <w:t xml:space="preserve"> </w:t>
      </w:r>
      <w:r>
        <w:rPr>
          <w:bCs/>
          <w:b/>
        </w:rPr>
        <w:t xml:space="preserve">GHG Protocol Product Standard</w:t>
      </w:r>
      <w:r>
        <w:t xml:space="preserve"> </w:t>
      </w:r>
      <w:r>
        <w:t xml:space="preserve">[3, 4, 8, 22]. Emissions are categorized into Scope 1 (direct emissions from owned or controlled sources), Scope 2 (indirect emissions from the generation of purchased energy), and Scope 3 (all other indirect emissions that occur in the value chain, both upstream and downstream). The GHG Protocol further divides Scope 3 emissions into 15 categories.</w:t>
      </w:r>
    </w:p>
    <w:bookmarkEnd w:id="26"/>
    <w:bookmarkStart w:id="27" w:name="allocation"/>
    <w:p>
      <w:pPr>
        <w:pStyle w:val="Heading3"/>
      </w:pPr>
      <w:r>
        <w:t xml:space="preserve">1.5 Allocation</w:t>
      </w:r>
    </w:p>
    <w:p>
      <w:pPr>
        <w:pStyle w:val="FirstParagraph"/>
      </w:pPr>
      <w:r>
        <w:t xml:space="preserve">Allocation of emissions for multi-product systems or co-products is performed using a mass-based approach where appropriate, ensuring environmental burdens are distributed proportionally to the product\'s mass share within a process. For recycling and circular economy aspects, the "closed-loop" approach is favored, crediting recycled materials based on their virgin material displacement potential. The GHG Protocol provides guidance on accounting for life cycle GHG emissions from individual products.</w:t>
      </w:r>
    </w:p>
    <w:p>
      <w:r>
        <w:pict>
          <v:rect style="width:0;height:1.5pt" o:hralign="center" o:hrstd="t" o:hr="t"/>
        </w:pict>
      </w:r>
    </w:p>
    <w:bookmarkEnd w:id="27"/>
    <w:bookmarkEnd w:id="28"/>
    <w:bookmarkStart w:id="34"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lifecycle stages considered and the data points collected for the Product Carbon Footprint calculation of wuftxksvsl. Illustrative emission factors are used for demonstration, based on typical industry values, and a comprehensive assessment would integrate directly with databases like Ecoinvent or DEFRA.</w:t>
      </w:r>
    </w:p>
    <w:bookmarkStart w:id="29" w:name="Xd4886ae8f27394ba5ffe1196913320b8167bae7"/>
    <w:p>
      <w:pPr>
        <w:pStyle w:val="Heading3"/>
      </w:pPr>
      <w:r>
        <w:t xml:space="preserve">2.1 Materials Acquisition and Pre-processing (Scope 3 Upstream)</w:t>
      </w:r>
    </w:p>
    <w:p>
      <w:pPr>
        <w:pStyle w:val="FirstParagraph"/>
      </w:pPr>
      <w:r>
        <w:t xml:space="preserve">The Detailed Bill of Materials (BOM) for wuftxksvsl, provided as</w:t>
      </w:r>
      <w:r>
        <w:t xml:space="preserve"> </w:t>
      </w:r>
      <w:r>
        <w:rPr>
          <w:bCs/>
          <w:b/>
        </w:rPr>
        <w:t xml:space="preserve">yohpqoge</w:t>
      </w:r>
      <w:r>
        <w:t xml:space="preserve">, is critical for accurately calculating the emissions associated with raw materials. The following table presents a representative BOM and its associated carbon impact, where \'Total Carbon\' is the calculated impact for the quantity specified, based on the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Recycled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p>
            <w:pPr>
              <w:pStyle w:val="Compact"/>
              <w:jc w:val="left"/>
            </w:pPr>
            <w:r>
              <w:t xml:space="preserve">6</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Refining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bl>
    <w:p>
      <w:pPr>
        <w:pStyle w:val="BodyText"/>
      </w:pPr>
      <w:r>
        <w:rPr>
          <w:iCs/>
          <w:i/>
        </w:rPr>
        <w:t xml:space="preserve">Note: The "Total Carbon" value for each BOM item is derived from the \'Qty * Emission Factor\' based on the specific values provided within the \'yohpqoge\' format. Illustrative emission factors for materials, such as aluminum (e.g., ~2.32 kg CO2e/kg for packaging, higher for primary production), plastics (e.g., ~1.8-3.5 kg CO2e/kg), lithium-ion batteries (often 41-89 kg CO2-Eq per kWh), and cardboard (e.g., 0.7-1.2 kg CO2e/kg), are utilized here.</w:t>
      </w:r>
    </w:p>
    <w:bookmarkEnd w:id="29"/>
    <w:bookmarkStart w:id="30" w:name="manufacturing-scope-1-scope-2"/>
    <w:p>
      <w:pPr>
        <w:pStyle w:val="Heading3"/>
      </w:pPr>
      <w:r>
        <w:t xml:space="preserve">2.2 Manufacturing (Scope 1 &amp; Scope 2)</w:t>
      </w:r>
    </w:p>
    <w:p>
      <w:pPr>
        <w:pStyle w:val="FirstParagraph"/>
      </w:pPr>
      <w:r>
        <w:t xml:space="preserve">The production phase occurs in China. Energy consumption data is customized as follows:</w:t>
      </w:r>
    </w:p>
    <w:p>
      <w:pPr>
        <w:numPr>
          <w:ilvl w:val="0"/>
          <w:numId w:val="1002"/>
        </w:numPr>
        <w:pStyle w:val="Compact"/>
      </w:pPr>
      <w:r>
        <w:t xml:space="preserve">Energy Intensity:</w:t>
      </w:r>
      <w:r>
        <w:t xml:space="preserve"> </w:t>
      </w:r>
      <w:r>
        <w:rPr>
          <w:bCs/>
          <w:b/>
        </w:rPr>
        <w:t xml:space="preserve">rsqnxqepdn</w:t>
      </w:r>
      <w:r>
        <w:t xml:space="preserve"> </w:t>
      </w:r>
      <w:r>
        <w:t xml:space="preserve">(Illustrative: 2.5 kWh/unit)</w:t>
      </w:r>
    </w:p>
    <w:p>
      <w:pPr>
        <w:numPr>
          <w:ilvl w:val="0"/>
          <w:numId w:val="1002"/>
        </w:numPr>
        <w:pStyle w:val="Compact"/>
      </w:pPr>
      <w:r>
        <w:t xml:space="preserve">Renewable Energy Usage:</w:t>
      </w:r>
      <w:r>
        <w:t xml:space="preserve"> </w:t>
      </w:r>
      <w:r>
        <w:rPr>
          <w:bCs/>
          <w:b/>
        </w:rPr>
        <w:t xml:space="preserve">zjnnunpszv</w:t>
      </w:r>
      <w:r>
        <w:t xml:space="preserve"> </w:t>
      </w:r>
      <w:r>
        <w:t xml:space="preserve">(Illustrative: 75%)</w:t>
      </w:r>
    </w:p>
    <w:p>
      <w:pPr>
        <w:pStyle w:val="FirstParagraph"/>
      </w:pPr>
      <w:r>
        <w:t xml:space="preserve">This means 75% of the electricity consumed is from renewable sources (assumed zero-emission for certified renewable energy), and 25% is from the regional grid mix. For China, a typical non-renewable grid emission factor is assumed to be 0.65 kgCO2e/kWh.</w:t>
      </w:r>
    </w:p>
    <w:p>
      <w:pPr>
        <w:pStyle w:val="BodyText"/>
      </w:pPr>
      <w:r>
        <w:t xml:space="preserve">Direct emissions (Scope 1) from manufacturing processes, such as on-site fuel combustion, are assumed to be negligible for this product\'s factory_gate boundary given the primary focus on purchased energy, but would be included if detailed data were available.</w:t>
      </w:r>
    </w:p>
    <w:bookmarkEnd w:id="30"/>
    <w:bookmarkStart w:id="31" w:name="X66602af3f3b03f7960ab2b1e314b9b92565b624"/>
    <w:p>
      <w:pPr>
        <w:pStyle w:val="Heading3"/>
      </w:pPr>
      <w:r>
        <w:t xml:space="preserve">2.3 Transportation and Distribution (Scope 3 Upstream &amp; Downstream)</w:t>
      </w:r>
    </w:p>
    <w:p>
      <w:pPr>
        <w:pStyle w:val="FirstParagraph"/>
      </w:pPr>
      <w:r>
        <w:t xml:space="preserve">Transportation plays a significant role in the overall footprint. The following specific logistics data is incorporated:</w:t>
      </w:r>
    </w:p>
    <w:p>
      <w:pPr>
        <w:numPr>
          <w:ilvl w:val="0"/>
          <w:numId w:val="1003"/>
        </w:numPr>
        <w:pStyle w:val="Compact"/>
      </w:pPr>
      <w:r>
        <w:t xml:space="preserve">Primary Transport Mode (to distribution center):</w:t>
      </w:r>
      <w:r>
        <w:t xml:space="preserve"> </w:t>
      </w:r>
      <w:r>
        <w:rPr>
          <w:bCs/>
          <w:b/>
        </w:rPr>
        <w:t xml:space="preserve">Select Mode</w:t>
      </w:r>
      <w:r>
        <w:t xml:space="preserve"> </w:t>
      </w:r>
      <w:r>
        <w:t xml:space="preserve">(Illustrative: Ocean Freight)</w:t>
      </w:r>
    </w:p>
    <w:p>
      <w:pPr>
        <w:numPr>
          <w:ilvl w:val="0"/>
          <w:numId w:val="1003"/>
        </w:numPr>
        <w:pStyle w:val="Compact"/>
      </w:pPr>
      <w:r>
        <w:t xml:space="preserve">Transport Distance:</w:t>
      </w:r>
      <w:r>
        <w:t xml:space="preserve"> </w:t>
      </w:r>
      <w:r>
        <w:rPr>
          <w:bCs/>
          <w:b/>
        </w:rPr>
        <w:t xml:space="preserve">tsvdqqruxi</w:t>
      </w:r>
      <w:r>
        <w:t xml:space="preserve"> </w:t>
      </w:r>
      <w:r>
        <w:t xml:space="preserve">(Illustrative: 15,000 km for ocean freight from China to Europe)</w:t>
      </w:r>
    </w:p>
    <w:p>
      <w:pPr>
        <w:numPr>
          <w:ilvl w:val="0"/>
          <w:numId w:val="1003"/>
        </w:numPr>
        <w:pStyle w:val="Compact"/>
      </w:pPr>
      <w:r>
        <w:t xml:space="preserve">Last-Mile Delivery Channel:</w:t>
      </w:r>
      <w:r>
        <w:t xml:space="preserve"> </w:t>
      </w:r>
      <w:r>
        <w:rPr>
          <w:bCs/>
          <w:b/>
        </w:rPr>
        <w:t xml:space="preserve">Delivery Type</w:t>
      </w:r>
      <w:r>
        <w:t xml:space="preserve"> </w:t>
      </w:r>
      <w:r>
        <w:t xml:space="preserve">(Illustrative: Road Freight (Heavy Goods Vehicle) for 500 km)</w:t>
      </w:r>
    </w:p>
    <w:p>
      <w:pPr>
        <w:pStyle w:val="FirstParagraph"/>
      </w:pPr>
      <w:r>
        <w:t xml:space="preserve">Illustrative Emission Factors for Transport:</w:t>
      </w:r>
    </w:p>
    <w:p>
      <w:pPr>
        <w:numPr>
          <w:ilvl w:val="0"/>
          <w:numId w:val="1004"/>
        </w:numPr>
        <w:pStyle w:val="Compact"/>
      </w:pPr>
      <w:r>
        <w:t xml:space="preserve">Ocean Freight: 0.015 kgCO2e/tonne-km</w:t>
      </w:r>
    </w:p>
    <w:p>
      <w:pPr>
        <w:numPr>
          <w:ilvl w:val="0"/>
          <w:numId w:val="1004"/>
        </w:numPr>
        <w:pStyle w:val="Compact"/>
      </w:pPr>
      <w:r>
        <w:t xml:space="preserve">Road Freight (HGV): 0.09 kgCO2e/tonne-km</w:t>
      </w:r>
    </w:p>
    <w:p>
      <w:pPr>
        <w:pStyle w:val="FirstParagraph"/>
      </w:pPr>
      <w:r>
        <w:t xml:space="preserve">Product mass (approx. 1 kg for wuftxksvsl for calculation purposes).</w:t>
      </w:r>
    </w:p>
    <w:bookmarkEnd w:id="31"/>
    <w:bookmarkStart w:id="32" w:name="use-phase-scope-3-downstream"/>
    <w:p>
      <w:pPr>
        <w:pStyle w:val="Heading3"/>
      </w:pPr>
      <w:r>
        <w:t xml:space="preserve">2.4 Use Phase (Scope 3 Downstream)</w:t>
      </w:r>
    </w:p>
    <w:p>
      <w:pPr>
        <w:pStyle w:val="FirstParagraph"/>
      </w:pPr>
      <w:r>
        <w:t xml:space="preserve">The use phase calculations leverage specific durability and consumption data, which includes emissions from direct or indirect energy consumption over the product\'s lifetime:</w:t>
      </w:r>
    </w:p>
    <w:p>
      <w:pPr>
        <w:numPr>
          <w:ilvl w:val="0"/>
          <w:numId w:val="1005"/>
        </w:numPr>
        <w:pStyle w:val="Compact"/>
      </w:pPr>
      <w:r>
        <w:t xml:space="preserve">Product Lifespan:</w:t>
      </w:r>
      <w:r>
        <w:t xml:space="preserve"> </w:t>
      </w:r>
      <w:r>
        <w:rPr>
          <w:bCs/>
          <w:b/>
        </w:rPr>
        <w:t xml:space="preserve">zgqempxjeg</w:t>
      </w:r>
      <w:r>
        <w:t xml:space="preserve"> </w:t>
      </w:r>
      <w:r>
        <w:t xml:space="preserve">(Illustrative: 5 years)</w:t>
      </w:r>
    </w:p>
    <w:p>
      <w:pPr>
        <w:numPr>
          <w:ilvl w:val="0"/>
          <w:numId w:val="1005"/>
        </w:numPr>
        <w:pStyle w:val="Compact"/>
      </w:pPr>
      <w:r>
        <w:t xml:space="preserve">Energy Consumption in Use:</w:t>
      </w:r>
      <w:r>
        <w:t xml:space="preserve"> </w:t>
      </w:r>
      <w:r>
        <w:rPr>
          <w:bCs/>
          <w:b/>
        </w:rPr>
        <w:t xml:space="preserve">rhixpyqwqx</w:t>
      </w:r>
      <w:r>
        <w:t xml:space="preserve"> </w:t>
      </w:r>
      <w:r>
        <w:t xml:space="preserve">(Illustrative: 10 kWh/year)</w:t>
      </w:r>
    </w:p>
    <w:p>
      <w:pPr>
        <w:pStyle w:val="FirstParagraph"/>
      </w:pPr>
      <w:r>
        <w:t xml:space="preserve">Total energy consumption over lifespan: 10 kWh/year * 5 years = 50 kWh. The emission factor for electricity consumed during the use phase (e.g., European average grid mix) is assumed to be 0.25 kgCO2e/kWh.</w:t>
      </w:r>
    </w:p>
    <w:bookmarkEnd w:id="32"/>
    <w:bookmarkStart w:id="33" w:name="end-of-life-eol-scope-3-downstream"/>
    <w:p>
      <w:pPr>
        <w:pStyle w:val="Heading3"/>
      </w:pPr>
      <w:r>
        <w:t xml:space="preserve">2.5 End-of-Life (EoL) (Scope 3 Downstream)</w:t>
      </w:r>
    </w:p>
    <w:p>
      <w:pPr>
        <w:pStyle w:val="FirstParagraph"/>
      </w:pPr>
      <w:r>
        <w:t xml:space="preserve">End-of-Life scenarios are critical for reflecting circular economy impacts:</w:t>
      </w:r>
    </w:p>
    <w:p>
      <w:pPr>
        <w:numPr>
          <w:ilvl w:val="0"/>
          <w:numId w:val="1006"/>
        </w:numPr>
        <w:pStyle w:val="Compact"/>
      </w:pPr>
      <w:r>
        <w:t xml:space="preserve">Recyclability Percentage:</w:t>
      </w:r>
      <w:r>
        <w:t xml:space="preserve"> </w:t>
      </w:r>
      <w:r>
        <w:rPr>
          <w:bCs/>
          <w:b/>
        </w:rPr>
        <w:t xml:space="preserve">hkgwjxspvj</w:t>
      </w:r>
      <w:r>
        <w:t xml:space="preserve"> </w:t>
      </w:r>
      <w:r>
        <w:t xml:space="preserve">(Illustrative: 80%)</w:t>
      </w:r>
    </w:p>
    <w:p>
      <w:pPr>
        <w:numPr>
          <w:ilvl w:val="0"/>
          <w:numId w:val="1006"/>
        </w:numPr>
        <w:pStyle w:val="Compact"/>
      </w:pPr>
      <w:r>
        <w:t xml:space="preserve">Circular/Take-back Programs:</w:t>
      </w:r>
      <w:r>
        <w:t xml:space="preserve"> </w:t>
      </w:r>
      <w:r>
        <w:rPr>
          <w:bCs/>
          <w:b/>
        </w:rPr>
        <w:t xml:space="preserve">ovwkvsfwke</w:t>
      </w:r>
      <w:r>
        <w:t xml:space="preserve"> </w:t>
      </w:r>
      <w:r>
        <w:t xml:space="preserve">(Illustrative: Yes, active product return scheme)</w:t>
      </w:r>
    </w:p>
    <w:p>
      <w:pPr>
        <w:pStyle w:val="FirstParagraph"/>
      </w:pPr>
      <w:r>
        <w:t xml:space="preserve">For the 80% recyclable portion, recycling credits are applied (e.g., avoiding virgin material production). For the remaining 20%, an end-of-life burden (e.g., incineration or landfill) is applied. Recycling may produce emissions due to processing, but also offers credits for displacing virgin materials. Landfill emissions are primarily from methane generation and transport. Take-back programs are acknowledged as a mechanism to achieve high recyclability, enhancing material circularity.</w:t>
      </w:r>
    </w:p>
    <w:p>
      <w:r>
        <w:pict>
          <v:rect style="width:0;height:1.5pt" o:hralign="center" o:hrstd="t" o:hr="t"/>
        </w:pict>
      </w:r>
    </w:p>
    <w:bookmarkEnd w:id="33"/>
    <w:bookmarkEnd w:id="34"/>
    <w:bookmarkStart w:id="43" w:name="Xb404f6bea4a0013006ec7a9103609d9ea6643c1"/>
    <w:p>
      <w:pPr>
        <w:pStyle w:val="Heading2"/>
      </w:pPr>
      <w:r>
        <w:t xml:space="preserve">4. Calculate Emissions (Activity * Emission Factor = CO2e)</w:t>
      </w:r>
    </w:p>
    <w:p>
      <w:pPr>
        <w:pStyle w:val="FirstParagraph"/>
      </w:pPr>
      <w:r>
        <w:t xml:space="preserve">Based on the data collected and using illustrative industry-standard emission factors, the Product Carbon Footprint for wuftxksvsl is calculated across its lifecycle stages, categorized according to the GHG Protocol.</w:t>
      </w:r>
    </w:p>
    <w:bookmarkStart w:id="35" w:name="scope-1-emissions"/>
    <w:p>
      <w:pPr>
        <w:pStyle w:val="Heading3"/>
      </w:pPr>
      <w:r>
        <w:t xml:space="preserve">4.1 Scope 1 Emissions</w:t>
      </w:r>
    </w:p>
    <w:p>
      <w:pPr>
        <w:pStyle w:val="FirstParagraph"/>
      </w:pPr>
      <w:r>
        <w:t xml:space="preserve">Direct emissions from giivmyoxwz\'s owned or controlled sources. Given the \'factory_gate\' boundary focus for direct operations and the nature of product manufacturing, Scope 1 emissions for on-site fuel combustion are assumed to be</w:t>
      </w:r>
      <w:r>
        <w:t xml:space="preserve"> </w:t>
      </w:r>
      <w:r>
        <w:rPr>
          <w:bCs/>
          <w:b/>
        </w:rPr>
        <w:t xml:space="preserve">0.00 kgCO2e</w:t>
      </w:r>
      <w:r>
        <w:t xml:space="preserve"> </w:t>
      </w:r>
      <w:r>
        <w:t xml:space="preserve">for this assessment, as detailed operational data was not provided. In a full assessment, this would include any direct fuel consumption for heating, cooling, or process operations at the manufacturing facility.</w:t>
      </w:r>
    </w:p>
    <w:bookmarkEnd w:id="35"/>
    <w:bookmarkStart w:id="36" w:name="scope-2-emissions"/>
    <w:p>
      <w:pPr>
        <w:pStyle w:val="Heading3"/>
      </w:pPr>
      <w:r>
        <w:t xml:space="preserve">4.2 Scope 2 Emissions</w:t>
      </w:r>
    </w:p>
    <w:p>
      <w:pPr>
        <w:pStyle w:val="FirstParagraph"/>
      </w:pPr>
      <w:r>
        <w:t xml:space="preserve">Indirect emissions from the generation of purchased electricity, steam, heat, and cooling. Calculations are based on the provided energy intensity and renewable energy usage.</w:t>
      </w:r>
    </w:p>
    <w:p>
      <w:pPr>
        <w:numPr>
          <w:ilvl w:val="0"/>
          <w:numId w:val="1007"/>
        </w:numPr>
        <w:pStyle w:val="Compact"/>
      </w:pPr>
      <w:r>
        <w:t xml:space="preserve">Energy Intensity: 2.5 kWh/unit</w:t>
      </w:r>
    </w:p>
    <w:p>
      <w:pPr>
        <w:numPr>
          <w:ilvl w:val="0"/>
          <w:numId w:val="1007"/>
        </w:numPr>
        <w:pStyle w:val="Compact"/>
      </w:pPr>
      <w:r>
        <w:t xml:space="preserve">Renewable Energy Usage: 75% (0.75 * 2.5 kWh = 1.875 kWh renewable)</w:t>
      </w:r>
    </w:p>
    <w:p>
      <w:pPr>
        <w:numPr>
          <w:ilvl w:val="0"/>
          <w:numId w:val="1007"/>
        </w:numPr>
        <w:pStyle w:val="Compact"/>
      </w:pPr>
      <w:r>
        <w:t xml:space="preserve">Non-renewable energy: 2.5 kWh - 1.875 kWh = 0.625 kWh</w:t>
      </w:r>
    </w:p>
    <w:p>
      <w:pPr>
        <w:numPr>
          <w:ilvl w:val="0"/>
          <w:numId w:val="1007"/>
        </w:numPr>
        <w:pStyle w:val="Compact"/>
      </w:pPr>
      <w:r>
        <w:t xml:space="preserve">China Grid Emission Factor (non-renewable, illustrative): 0.65 kgCO2e/kWh</w:t>
      </w:r>
    </w:p>
    <w:p>
      <w:pPr>
        <w:numPr>
          <w:ilvl w:val="0"/>
          <w:numId w:val="1007"/>
        </w:numPr>
        <w:pStyle w:val="Compact"/>
      </w:pPr>
      <w:r>
        <w:t xml:space="preserve">Scope 2 Emissions = 0.625 kWh * 0.65 kgCO2e/kWh =</w:t>
      </w:r>
      <w:r>
        <w:t xml:space="preserve"> </w:t>
      </w:r>
      <w:r>
        <w:rPr>
          <w:bCs/>
          <w:b/>
        </w:rPr>
        <w:t xml:space="preserve">0.406 kgCO2e</w:t>
      </w:r>
    </w:p>
    <w:bookmarkEnd w:id="36"/>
    <w:bookmarkStart w:id="39" w:name="scope-3-emissions-value-chain"/>
    <w:p>
      <w:pPr>
        <w:pStyle w:val="Heading3"/>
      </w:pPr>
      <w:r>
        <w:t xml:space="preserve">4.3 Scope 3 Emissions (Value Chain)</w:t>
      </w:r>
    </w:p>
    <w:p>
      <w:pPr>
        <w:pStyle w:val="FirstParagraph"/>
      </w:pPr>
      <w:r>
        <w:t xml:space="preserve">Scope 3 emissions are all other indirect emissions that occur in a company\'s value chain, both upstream and downstream. For many companies, Scope 3 emissions account for 70-90% of the total carbon footprint.</w:t>
      </w:r>
    </w:p>
    <w:bookmarkStart w:id="37" w:name="upstream-emissions"/>
    <w:p>
      <w:pPr>
        <w:pStyle w:val="Heading4"/>
      </w:pPr>
      <w:r>
        <w:t xml:space="preserve">4.3.1 Upstream Emissions</w:t>
      </w:r>
    </w:p>
    <w:p>
      <w:pPr>
        <w:numPr>
          <w:ilvl w:val="0"/>
          <w:numId w:val="1008"/>
        </w:numPr>
        <w:pStyle w:val="Compact"/>
      </w:pPr>
      <w:r>
        <w:rPr>
          <w:bCs/>
          <w:b/>
        </w:rPr>
        <w:t xml:space="preserve">Materials Acquisition &amp; Pre-processing (Category 1: Purchased Goods and Services):</w:t>
      </w:r>
    </w:p>
    <w:p>
      <w:pPr>
        <w:numPr>
          <w:ilvl w:val="1"/>
          <w:numId w:val="1009"/>
        </w:numPr>
        <w:pStyle w:val="Compact"/>
      </w:pPr>
      <w:r>
        <w:t xml:space="preserve">Total Carbon from BOM (illustrative sum): 6.00 + 0.30 + 2.00 + 1.50 + 0.15 + 0.08 =</w:t>
      </w:r>
      <w:r>
        <w:t xml:space="preserve"> </w:t>
      </w:r>
      <w:r>
        <w:rPr>
          <w:bCs/>
          <w:b/>
        </w:rPr>
        <w:t xml:space="preserve">10.03 kgCO2e</w:t>
      </w:r>
    </w:p>
    <w:p>
      <w:pPr>
        <w:numPr>
          <w:ilvl w:val="0"/>
          <w:numId w:val="1008"/>
        </w:numPr>
        <w:pStyle w:val="Compact"/>
      </w:pPr>
      <w:r>
        <w:rPr>
          <w:bCs/>
          <w:b/>
        </w:rPr>
        <w:t xml:space="preserve">Upstream Transportation &amp; Distribution (Category 4: Upstream Transportation and Distribution):</w:t>
      </w:r>
    </w:p>
    <w:p>
      <w:pPr>
        <w:numPr>
          <w:ilvl w:val="1"/>
          <w:numId w:val="1010"/>
        </w:numPr>
        <w:pStyle w:val="Compact"/>
      </w:pPr>
      <w:r>
        <w:t xml:space="preserve">Assumed product mass: 1 kg (0.001 tonne)</w:t>
      </w:r>
    </w:p>
    <w:p>
      <w:pPr>
        <w:numPr>
          <w:ilvl w:val="1"/>
          <w:numId w:val="1010"/>
        </w:numPr>
        <w:pStyle w:val="Compact"/>
      </w:pPr>
      <w:r>
        <w:t xml:space="preserve">Ocean Freight: 0.001 tonne * 15,000 km * 0.015 kgCO2e/tonne-km = 0.225 kgCO2e</w:t>
      </w:r>
    </w:p>
    <w:p>
      <w:pPr>
        <w:numPr>
          <w:ilvl w:val="1"/>
          <w:numId w:val="1010"/>
        </w:numPr>
        <w:pStyle w:val="Compact"/>
      </w:pPr>
      <w:r>
        <w:t xml:space="preserve">Road Freight (Last-Mile): 0.001 tonne * 500 km * 0.09 kgCO2e/tonne-km = 0.045 kgCO2e</w:t>
      </w:r>
    </w:p>
    <w:p>
      <w:pPr>
        <w:numPr>
          <w:ilvl w:val="1"/>
          <w:numId w:val="1010"/>
        </w:numPr>
        <w:pStyle w:val="Compact"/>
      </w:pPr>
      <w:r>
        <w:t xml:space="preserve">Total Upstream Transportation = 0.225 + 0.045 =</w:t>
      </w:r>
      <w:r>
        <w:t xml:space="preserve"> </w:t>
      </w:r>
      <w:r>
        <w:rPr>
          <w:bCs/>
          <w:b/>
        </w:rPr>
        <w:t xml:space="preserve">0.270 kgCO2e</w:t>
      </w:r>
    </w:p>
    <w:p>
      <w:pPr>
        <w:numPr>
          <w:ilvl w:val="0"/>
          <w:numId w:val="1008"/>
        </w:numPr>
        <w:pStyle w:val="Compact"/>
      </w:pPr>
      <w:r>
        <w:t xml:space="preserve">Other upstream Scope 3 categories (e.g., capital goods, fuel- and energy-related activities not included in Scope 1 or 2) are not explicitly detailed here but would be covered in a full 95% compliant report.</w:t>
      </w:r>
    </w:p>
    <w:bookmarkEnd w:id="37"/>
    <w:bookmarkStart w:id="38" w:name="downstream-emissions"/>
    <w:p>
      <w:pPr>
        <w:pStyle w:val="Heading4"/>
      </w:pPr>
      <w:r>
        <w:t xml:space="preserve">4.3.2 Downstream Emissions</w:t>
      </w:r>
    </w:p>
    <w:p>
      <w:pPr>
        <w:numPr>
          <w:ilvl w:val="0"/>
          <w:numId w:val="1011"/>
        </w:numPr>
        <w:pStyle w:val="Compact"/>
      </w:pPr>
      <w:r>
        <w:rPr>
          <w:bCs/>
          <w:b/>
        </w:rPr>
        <w:t xml:space="preserve">Use Phase (Category 11: Use of Sold Products):</w:t>
      </w:r>
    </w:p>
    <w:p>
      <w:pPr>
        <w:numPr>
          <w:ilvl w:val="1"/>
          <w:numId w:val="1012"/>
        </w:numPr>
        <w:pStyle w:val="Compact"/>
      </w:pPr>
      <w:r>
        <w:t xml:space="preserve">Total Energy Consumption: 50 kWh (over 5 years)</w:t>
      </w:r>
    </w:p>
    <w:p>
      <w:pPr>
        <w:numPr>
          <w:ilvl w:val="1"/>
          <w:numId w:val="1012"/>
        </w:numPr>
        <w:pStyle w:val="Compact"/>
      </w:pPr>
      <w:r>
        <w:t xml:space="preserve">European Grid Emission Factor (illustrative): 0.25 kgCO2e/kWh</w:t>
      </w:r>
    </w:p>
    <w:p>
      <w:pPr>
        <w:numPr>
          <w:ilvl w:val="1"/>
          <w:numId w:val="1012"/>
        </w:numPr>
        <w:pStyle w:val="Compact"/>
      </w:pPr>
      <w:r>
        <w:t xml:space="preserve">Use Phase Emissions = 50 kWh * 0.25 kgCO2e/kWh =</w:t>
      </w:r>
      <w:r>
        <w:t xml:space="preserve"> </w:t>
      </w:r>
      <w:r>
        <w:rPr>
          <w:bCs/>
          <w:b/>
        </w:rPr>
        <w:t xml:space="preserve">12.50 kgCO2e</w:t>
      </w:r>
    </w:p>
    <w:p>
      <w:pPr>
        <w:numPr>
          <w:ilvl w:val="0"/>
          <w:numId w:val="1011"/>
        </w:numPr>
        <w:pStyle w:val="Compact"/>
      </w:pPr>
      <w:r>
        <w:rPr>
          <w:bCs/>
          <w:b/>
        </w:rPr>
        <w:t xml:space="preserve">End-of-Life Treatment (Category 12: End-of-Life Treatment of Sold Products):</w:t>
      </w:r>
    </w:p>
    <w:p>
      <w:pPr>
        <w:numPr>
          <w:ilvl w:val="1"/>
          <w:numId w:val="1013"/>
        </w:numPr>
        <w:pStyle w:val="Compact"/>
      </w:pPr>
      <w:r>
        <w:t xml:space="preserve">Product mass for EoL: 1 kg</w:t>
      </w:r>
    </w:p>
    <w:p>
      <w:pPr>
        <w:numPr>
          <w:ilvl w:val="1"/>
          <w:numId w:val="1013"/>
        </w:numPr>
        <w:pStyle w:val="Compact"/>
      </w:pPr>
      <w:r>
        <w:t xml:space="preserve">Recyclability: 80% (0.8 kg) - Assumed credit for virgin material displacement: -1.0 kgCO2e/kg (illustrative)</w:t>
      </w:r>
    </w:p>
    <w:p>
      <w:pPr>
        <w:numPr>
          <w:ilvl w:val="1"/>
          <w:numId w:val="1013"/>
        </w:numPr>
        <w:pStyle w:val="Compact"/>
      </w:pPr>
      <w:r>
        <w:t xml:space="preserve">Disposal (20%, 0.2 kg) - Assumed burden for landfill: 0.5 kgCO2e/kg (illustrative)</w:t>
      </w:r>
    </w:p>
    <w:p>
      <w:pPr>
        <w:numPr>
          <w:ilvl w:val="1"/>
          <w:numId w:val="1013"/>
        </w:numPr>
        <w:pStyle w:val="Compact"/>
      </w:pPr>
      <w:r>
        <w:t xml:space="preserve">EoL Emissions = (0.8 kg * -1.0 kgCO2e/kg) + (0.2 kg * 0.5 kgCO2e/kg) = -0.8 + 0.1 =</w:t>
      </w:r>
      <w:r>
        <w:t xml:space="preserve"> </w:t>
      </w:r>
      <w:r>
        <w:rPr>
          <w:bCs/>
          <w:b/>
        </w:rPr>
        <w:t xml:space="preserve">-0.70 kgCO2e</w:t>
      </w:r>
      <w:r>
        <w:t xml:space="preserve"> </w:t>
      </w:r>
      <w:r>
        <w:t xml:space="preserve">(Net credit)</w:t>
      </w:r>
    </w:p>
    <w:p>
      <w:pPr>
        <w:numPr>
          <w:ilvl w:val="0"/>
          <w:numId w:val="1011"/>
        </w:numPr>
        <w:pStyle w:val="Compact"/>
      </w:pPr>
      <w:r>
        <w:t xml:space="preserve">Other downstream Scope 3 categories (e.g., processing of sold products, investments) are not explicitly detailed here but would be covered in a full 95% compliant report.</w:t>
      </w:r>
    </w:p>
    <w:bookmarkEnd w:id="38"/>
    <w:bookmarkEnd w:id="39"/>
    <w:bookmarkStart w:id="40" w:name="total-product-carbon-footprint"/>
    <w:p>
      <w:pPr>
        <w:pStyle w:val="Heading3"/>
      </w:pPr>
      <w:r>
        <w:t xml:space="preserve">4.4 Total Product Carbon Footprint</w:t>
      </w:r>
    </w:p>
    <w:p>
      <w:pPr>
        <w:pStyle w:val="FirstParagraph"/>
      </w:pPr>
      <w:r>
        <w:t xml:space="preserve">Summing up all calculated emissions:</w:t>
      </w:r>
    </w:p>
    <w:p>
      <w:pPr>
        <w:numPr>
          <w:ilvl w:val="0"/>
          <w:numId w:val="1014"/>
        </w:numPr>
        <w:pStyle w:val="Compact"/>
      </w:pPr>
      <w:r>
        <w:t xml:space="preserve">Scope 1: 0.00 kgCO2e</w:t>
      </w:r>
    </w:p>
    <w:p>
      <w:pPr>
        <w:numPr>
          <w:ilvl w:val="0"/>
          <w:numId w:val="1014"/>
        </w:numPr>
        <w:pStyle w:val="Compact"/>
      </w:pPr>
      <w:r>
        <w:t xml:space="preserve">Scope 2: 0.406 kgCO2e</w:t>
      </w:r>
    </w:p>
    <w:p>
      <w:pPr>
        <w:numPr>
          <w:ilvl w:val="0"/>
          <w:numId w:val="1014"/>
        </w:numPr>
        <w:pStyle w:val="Compact"/>
      </w:pPr>
      <w:r>
        <w:t xml:space="preserve">Scope 3 Upstream (Materials): 10.03 kgCO2e</w:t>
      </w:r>
    </w:p>
    <w:p>
      <w:pPr>
        <w:numPr>
          <w:ilvl w:val="0"/>
          <w:numId w:val="1014"/>
        </w:numPr>
        <w:pStyle w:val="Compact"/>
      </w:pPr>
      <w:r>
        <w:t xml:space="preserve">Scope 3 Upstream (Transport): 0.270 kgCO2e</w:t>
      </w:r>
    </w:p>
    <w:p>
      <w:pPr>
        <w:numPr>
          <w:ilvl w:val="0"/>
          <w:numId w:val="1014"/>
        </w:numPr>
        <w:pStyle w:val="Compact"/>
      </w:pPr>
      <w:r>
        <w:t xml:space="preserve">Scope 3 Downstream (Use Phase): 12.50 kgCO2e</w:t>
      </w:r>
    </w:p>
    <w:p>
      <w:pPr>
        <w:numPr>
          <w:ilvl w:val="0"/>
          <w:numId w:val="1014"/>
        </w:numPr>
        <w:pStyle w:val="Compact"/>
      </w:pPr>
      <w:r>
        <w:t xml:space="preserve">Scope 3 Downstream (End-of-Life): -0.70 kgCO2e</w:t>
      </w:r>
    </w:p>
    <w:p>
      <w:pPr>
        <w:pStyle w:val="FirstParagraph"/>
      </w:pPr>
      <w:r>
        <w:rPr>
          <w:bCs/>
          <w:b/>
        </w:rPr>
        <w:t xml:space="preserve">Total Product Carbon Footprint (PCF) for 1.0 unit of wuftxksvsl = 22.506 kgCO2e</w:t>
      </w:r>
    </w:p>
    <w:bookmarkEnd w:id="40"/>
    <w:bookmarkStart w:id="41" w:name="lsr-update-application"/>
    <w:p>
      <w:pPr>
        <w:pStyle w:val="Heading3"/>
      </w:pPr>
      <w:r>
        <w:t xml:space="preserve">4.5 2026 LSR Update Application</w:t>
      </w:r>
    </w:p>
    <w:p>
      <w:pPr>
        <w:pStyle w:val="FirstParagraph"/>
      </w:pPr>
      <w:r>
        <w:t xml:space="preserve">The 2026 Land Sector and Removals (LSR) Standard update, released on January 30, 2026, and effective January 1, 2027, provides granular guidance on accounting for emissions and removals related to land use change and carbon sequestration. For this specific product (wuftxksvsl), direct land use change associated with its components is not a primary driver of emissions. However, in a full and compliant assessment, any bio-based materials (e.g., packaging cardboard from sustainable forestry) or processes involving land-intensive resources would be evaluated under the LSR Standard. It is important to note that forest carbon accounting is not included in this version of the LSR Standard but is planned for future updates. If the company giivmyoxwz engages in carbon removal activities (e.g., through carbon capture technologies or afforestation projects linked to its value chain), these removals would also be quantified and reported separately according to the LSR guidance.</w:t>
      </w:r>
    </w:p>
    <w:bookmarkEnd w:id="41"/>
    <w:bookmarkStart w:id="42" w:name="scope-3-compliance"/>
    <w:p>
      <w:pPr>
        <w:pStyle w:val="Heading3"/>
      </w:pPr>
      <w:r>
        <w:t xml:space="preserve">4.6 Scope 3 Compliance</w:t>
      </w:r>
    </w:p>
    <w:p>
      <w:pPr>
        <w:pStyle w:val="FirstParagraph"/>
      </w:pPr>
      <w:r>
        <w:t xml:space="preserve">This analysis, by including key upstream and downstream categories (purchased goods and services, upstream transportation and distribution, use of sold products, and end-of-life treatment of sold products), aims to achieve the required</w:t>
      </w:r>
      <w:r>
        <w:t xml:space="preserve"> </w:t>
      </w:r>
      <w:r>
        <w:rPr>
          <w:bCs/>
          <w:b/>
        </w:rPr>
        <w:t xml:space="preserve">at least 95% coverage for Scope 3 reporting</w:t>
      </w:r>
      <w:r>
        <w:t xml:space="preserve"> </w:t>
      </w:r>
      <w:r>
        <w:t xml:space="preserve">as per 2026 requirements. For many companies, Scope 3 emissions represent the majority of the carbon footprint, often between 70% and 90%. A more granular analysis, including all 15 Scope 3 categories, would be conducted to confirm this coverage in a full PCF study, involving extensive primary data collection from suppliers and value chain partners.</w:t>
      </w:r>
    </w:p>
    <w:p>
      <w:r>
        <w:pict>
          <v:rect style="width:0;height:1.5pt" o:hralign="center" o:hrstd="t" o:hr="t"/>
        </w:pict>
      </w:r>
    </w:p>
    <w:bookmarkEnd w:id="42"/>
    <w:bookmarkEnd w:id="43"/>
    <w:bookmarkStart w:id="46"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Based on the calculations, the primary emission hotspots for wuftxksvsl are:</w:t>
      </w:r>
    </w:p>
    <w:p>
      <w:pPr>
        <w:numPr>
          <w:ilvl w:val="0"/>
          <w:numId w:val="1015"/>
        </w:numPr>
        <w:pStyle w:val="Compact"/>
      </w:pPr>
      <w:r>
        <w:rPr>
          <w:bCs/>
          <w:b/>
        </w:rPr>
        <w:t xml:space="preserve">Use Phase:</w:t>
      </w:r>
      <w:r>
        <w:t xml:space="preserve"> </w:t>
      </w:r>
      <w:r>
        <w:t xml:space="preserve">Representing approximately 55.5% of the total footprint (12.50 kgCO2e out of 22.506 kgCO2e). This is mainly due to the electricity consumption over the product\'s 5-year lifespan.</w:t>
      </w:r>
    </w:p>
    <w:p>
      <w:pPr>
        <w:numPr>
          <w:ilvl w:val="0"/>
          <w:numId w:val="1015"/>
        </w:numPr>
        <w:pStyle w:val="Compact"/>
      </w:pPr>
      <w:r>
        <w:rPr>
          <w:bCs/>
          <w:b/>
        </w:rPr>
        <w:t xml:space="preserve">Materials Acquisition &amp; Pre-processing:</w:t>
      </w:r>
      <w:r>
        <w:t xml:space="preserve"> </w:t>
      </w:r>
      <w:r>
        <w:t xml:space="preserve">Accounting for approximately 44.6% of the total footprint (10.03 kgCO2e). High-impact materials like primary aluminum and lithium-ion batteries significantly contribute here.</w:t>
      </w:r>
    </w:p>
    <w:p>
      <w:pPr>
        <w:pStyle w:val="FirstParagraph"/>
      </w:pPr>
      <w:r>
        <w:t xml:space="preserve">These two phases collectively account for over 100% due to the end-of-life credit, but individually they are the largest contributors to gross emissions.</w:t>
      </w:r>
    </w:p>
    <w:bookmarkEnd w:id="44"/>
    <w:bookmarkStart w:id="45" w:name="reliability-and-recommendations"/>
    <w:p>
      <w:pPr>
        <w:pStyle w:val="Heading3"/>
      </w:pPr>
      <w:r>
        <w:t xml:space="preserve">5.2 Reliability and Recommendations</w:t>
      </w:r>
    </w:p>
    <w:p>
      <w:pPr>
        <w:pStyle w:val="FirstParagraph"/>
      </w:pPr>
      <w:r>
        <w:t xml:space="preserve">The reliability of this PCF analysis is moderate, primarily due to the reliance on illustrative and secondary emission factors for some stages and placeholder data for specific parameters. For enhanced accuracy, the following recommendations are made:</w:t>
      </w:r>
    </w:p>
    <w:p>
      <w:pPr>
        <w:numPr>
          <w:ilvl w:val="0"/>
          <w:numId w:val="1016"/>
        </w:numPr>
        <w:pStyle w:val="Compact"/>
      </w:pPr>
      <w:r>
        <w:rPr>
          <w:bCs/>
          <w:b/>
        </w:rPr>
        <w:t xml:space="preserve">Primary Data Collection:</w:t>
      </w:r>
      <w:r>
        <w:t xml:space="preserve"> </w:t>
      </w:r>
      <w:r>
        <w:t xml:space="preserve">Collect primary data from suppliers for material production (e.g., actual energy consumption, waste generation from \'yohpqoge\' components).</w:t>
      </w:r>
    </w:p>
    <w:p>
      <w:pPr>
        <w:numPr>
          <w:ilvl w:val="0"/>
          <w:numId w:val="1016"/>
        </w:numPr>
        <w:pStyle w:val="Compact"/>
      </w:pPr>
      <w:r>
        <w:rPr>
          <w:bCs/>
          <w:b/>
        </w:rPr>
        <w:t xml:space="preserve">Specific Transport Data:</w:t>
      </w:r>
      <w:r>
        <w:t xml:space="preserve"> </w:t>
      </w:r>
      <w:r>
        <w:t xml:space="preserve">Obtain exact transport modes, distances, and freight loads for all supply chain stages.</w:t>
      </w:r>
    </w:p>
    <w:p>
      <w:pPr>
        <w:numPr>
          <w:ilvl w:val="0"/>
          <w:numId w:val="1016"/>
        </w:numPr>
        <w:pStyle w:val="Compact"/>
      </w:pPr>
      <w:r>
        <w:rPr>
          <w:bCs/>
          <w:b/>
        </w:rPr>
        <w:t xml:space="preserve">Regional Grid Mixes:</w:t>
      </w:r>
      <w:r>
        <w:t xml:space="preserve"> </w:t>
      </w:r>
      <w:r>
        <w:t xml:space="preserve">Use country-specific and up-to-date electricity grid emission factors for all relevant geographic locations (China for manufacturing, Europe for use phase).</w:t>
      </w:r>
    </w:p>
    <w:p>
      <w:pPr>
        <w:numPr>
          <w:ilvl w:val="0"/>
          <w:numId w:val="1016"/>
        </w:numPr>
        <w:pStyle w:val="Compact"/>
      </w:pPr>
      <w:r>
        <w:rPr>
          <w:bCs/>
          <w:b/>
        </w:rPr>
        <w:t xml:space="preserve">Detailed Use Phase Modeling:</w:t>
      </w:r>
      <w:r>
        <w:t xml:space="preserve"> </w:t>
      </w:r>
      <w:r>
        <w:t xml:space="preserve">Engage with product design and engineering teams for precise energy consumption profiles under typical usage scenarios.</w:t>
      </w:r>
    </w:p>
    <w:p>
      <w:pPr>
        <w:numPr>
          <w:ilvl w:val="0"/>
          <w:numId w:val="1016"/>
        </w:numPr>
        <w:pStyle w:val="Compact"/>
      </w:pPr>
      <w:r>
        <w:rPr>
          <w:bCs/>
          <w:b/>
        </w:rPr>
        <w:t xml:space="preserve">EoL Partner Data:</w:t>
      </w:r>
      <w:r>
        <w:t xml:space="preserve"> </w:t>
      </w:r>
      <w:r>
        <w:t xml:space="preserve">Collaborate with recycling and waste management partners to get specific data on recycling efficiencies and end-of-life treatment impacts.</w:t>
      </w:r>
    </w:p>
    <w:p>
      <w:pPr>
        <w:numPr>
          <w:ilvl w:val="0"/>
          <w:numId w:val="1016"/>
        </w:numPr>
        <w:pStyle w:val="Compact"/>
      </w:pPr>
      <w:r>
        <w:rPr>
          <w:bCs/>
          <w:b/>
        </w:rPr>
        <w:t xml:space="preserve">LSR Integration:</w:t>
      </w:r>
      <w:r>
        <w:t xml:space="preserve"> </w:t>
      </w:r>
      <w:r>
        <w:t xml:space="preserve">Fully integrate the 2026 LSR Standard requirements by identifying and quantifying all land-use related emissions and removals, if applicable.</w:t>
      </w:r>
    </w:p>
    <w:p>
      <w:pPr>
        <w:numPr>
          <w:ilvl w:val="0"/>
          <w:numId w:val="1016"/>
        </w:numPr>
        <w:pStyle w:val="Compact"/>
      </w:pPr>
      <w:r>
        <w:rPr>
          <w:bCs/>
          <w:b/>
        </w:rPr>
        <w:t xml:space="preserve">Life Cycle Inventory (LCI) Software:</w:t>
      </w:r>
      <w:r>
        <w:t xml:space="preserve"> </w:t>
      </w:r>
      <w:r>
        <w:t xml:space="preserve">Utilize professional LCI databases (e.g., Ecoinvent, GaBi) and LCA software tools for robust calculations and data consistency.</w:t>
      </w:r>
    </w:p>
    <w:p>
      <w:pPr>
        <w:pStyle w:val="FirstParagraph"/>
      </w:pPr>
      <w:r>
        <w:t xml:space="preserve">Addressing these hotspots and improving data quality will enable</w:t>
      </w:r>
      <w:r>
        <w:t xml:space="preserve"> </w:t>
      </w:r>
      <w:r>
        <w:rPr>
          <w:bCs/>
          <w:b/>
        </w:rPr>
        <w:t xml:space="preserve">giivmyoxwz</w:t>
      </w:r>
      <w:r>
        <w:t xml:space="preserve"> </w:t>
      </w:r>
      <w:r>
        <w:t xml:space="preserve">to develop targeted strategies for reducing the carbon footprint of</w:t>
      </w:r>
      <w:r>
        <w:t xml:space="preserve"> </w:t>
      </w:r>
      <w:r>
        <w:rPr>
          <w:bCs/>
          <w:b/>
        </w:rPr>
        <w:t xml:space="preserve">wuftxksvsl</w:t>
      </w:r>
      <w:r>
        <w:t xml:space="preserve">, contributing to its overall sustainability goals.</w:t>
      </w:r>
    </w:p>
    <w:p>
      <w:r>
        <w:pict>
          <v:rect style="width:0;height:1.5pt" o:hralign="center" o:hrstd="t" o:hr="t"/>
        </w:pict>
      </w:r>
    </w:p>
    <w:p>
      <w:pPr>
        <w:pStyle w:val="FirstParagraph"/>
      </w:pPr>
      <w:r>
        <w:t xml:space="preserve">Confidential - Internal Use Only | Page 1 of X (Page numbering for print)</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wuftxksvsl</dc:title>
  <dc:creator/>
  <dc:description>Detailed Product Carbon Footprint (PCF) analysis report for wuftxksvsl, performed by njmuivmxdp for giivmyoxwz, adhering to GHG Protocol and 2026 LSR Update requirements.</dc:description>
  <cp:keywords/>
  <dcterms:created xsi:type="dcterms:W3CDTF">2026-07-16T04:07:52Z</dcterms:created>
  <dcterms:modified xsi:type="dcterms:W3CDTF">2026-07-16T04:07:52Z</dcterms:modified>
</cp:coreProperties>
</file>

<file path=docProps/custom.xml><?xml version="1.0" encoding="utf-8"?>
<Properties xmlns="http://schemas.openxmlformats.org/officeDocument/2006/custom-properties" xmlns:vt="http://schemas.openxmlformats.org/officeDocument/2006/docPropsVTypes"/>
</file>