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wtstjunjix</w:t>
      </w:r>
      <w:r>
        <w:t xml:space="preserve"> </w:t>
      </w:r>
      <w:r>
        <w:t xml:space="preserve">-</w:t>
      </w:r>
      <w:r>
        <w:t xml:space="preserve"> </w:t>
      </w:r>
      <w:r>
        <w:t xml:space="preserve">frxssiqdrp</w:t>
      </w:r>
    </w:p>
    <w:p>
      <w:pPr>
        <w:pStyle w:val="FirstParagraph"/>
      </w:pPr>
      <w:r>
        <w:t xml:space="preserve">carboncalcpcf.com</w:t>
      </w:r>
    </w:p>
    <w:bookmarkStart w:id="22" w:name="Xf2e6ab5be446359d80f42f50d41e46314dfe19d"/>
    <w:p>
      <w:pPr>
        <w:pStyle w:val="Heading1"/>
      </w:pPr>
      <w:r>
        <w:t xml:space="preserve">Product Carbon Footprint (PCF) Analysis Report</w:t>
      </w:r>
    </w:p>
    <w:bookmarkStart w:id="20" w:name="product-wtstjunjix"/>
    <w:p>
      <w:pPr>
        <w:pStyle w:val="Heading2"/>
      </w:pPr>
      <w:r>
        <w:t xml:space="preserve">Product: wtstjunjix</w:t>
      </w:r>
    </w:p>
    <w:bookmarkEnd w:id="20"/>
    <w:bookmarkStart w:id="21" w:name="company-frxssiqdrp"/>
    <w:p>
      <w:pPr>
        <w:pStyle w:val="Heading2"/>
      </w:pPr>
      <w:r>
        <w:t xml:space="preserve">Company: frxssiqdrp</w:t>
      </w:r>
    </w:p>
    <w:p>
      <w:pPr>
        <w:pStyle w:val="FirstParagraph"/>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roxhrvmjqt</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availability.</w:t>
      </w:r>
    </w:p>
    <w:bookmarkEnd w:id="21"/>
    <w:bookmarkEnd w:id="22"/>
    <w:bookmarkStart w:id="23"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wtstjunjix</w:t>
      </w:r>
    </w:p>
    <w:p>
      <w:pPr>
        <w:pStyle w:val="BodyText"/>
      </w:pPr>
      <w:r>
        <w:rPr>
          <w:bCs/>
          <w:b/>
        </w:rPr>
        <w:t xml:space="preserve">Company:</w:t>
      </w:r>
      <w:r>
        <w:t xml:space="preserve"> </w:t>
      </w:r>
      <w:r>
        <w:t xml:space="preserve">frxssiqdrp</w:t>
      </w:r>
    </w:p>
    <w:p>
      <w:pPr>
        <w:pStyle w:val="BodyText"/>
      </w:pPr>
      <w:r>
        <w:rPr>
          <w:bCs/>
          <w:b/>
        </w:rPr>
        <w:t xml:space="preserve">Generated Date:</w:t>
      </w:r>
      <w:r>
        <w:t xml:space="preserve"> </w:t>
      </w:r>
      <w:r>
        <w:t xml:space="preserve">May 20, 2026</w:t>
      </w:r>
    </w:p>
    <w:bookmarkEnd w:id="23"/>
    <w:p>
      <w:r>
        <w:pict>
          <v:rect style="width:0;height:1.5pt" o:hralign="center" o:hrstd="t" o:hr="t"/>
        </w:pict>
      </w:r>
    </w:p>
    <w:bookmarkStart w:id="24"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wtstjunjix</w:t>
      </w:r>
      <w:r>
        <w:t xml:space="preserve"> </w:t>
      </w:r>
      <w:r>
        <w:t xml:space="preserve">manufactured by</w:t>
      </w:r>
      <w:r>
        <w:t xml:space="preserve"> </w:t>
      </w:r>
      <w:r>
        <w:rPr>
          <w:bCs/>
          <w:b/>
        </w:rPr>
        <w:t xml:space="preserve">frxssiqdrp</w:t>
      </w:r>
      <w:r>
        <w:t xml:space="preserve">, conducted by</w:t>
      </w:r>
      <w:r>
        <w:t xml:space="preserve"> </w:t>
      </w:r>
      <w:r>
        <w:rPr>
          <w:bCs/>
          <w:b/>
        </w:rPr>
        <w:t xml:space="preserve">roxhrvmjqt</w:t>
      </w:r>
      <w:r>
        <w:t xml:space="preserve">, Senior Sustainability Consultant. The analysis strictly adheres to the GHG Protocol accounting standard, incorporating the latest 2026 Land Sector and Removals (LSR) Standard updates and ensuring at least 95% Scope 3 emissions coverage. The primary objective is to quantify the greenhouse gas (GHG) emissions across the entire product lifecycle, from raw material extraction to end-of-life, to identify key emission hotspots and inform strategic decarbonization efforts.</w:t>
      </w:r>
    </w:p>
    <w:p>
      <w:pPr>
        <w:pStyle w:val="BodyText"/>
      </w:pPr>
      <w:r>
        <w:t xml:space="preserve">The analysis reveals significant contributions from material acquisition and production, driven by the energy-intensive nature of components and manufacturing processes in China, alongside notable impacts from product use phase energy consumption in Europe and end-of-life treatment. The report provides a structured breakdown of emissions across Scope 1, Scope 2, and Scope 3 categories, offering actionable insights for improving the product\'s environmental performance.</w:t>
      </w:r>
    </w:p>
    <w:p>
      <w:r>
        <w:pict>
          <v:rect style="width:0;height:1.5pt" o:hralign="center" o:hrstd="t" o:hr="t"/>
        </w:pict>
      </w:r>
    </w:p>
    <w:bookmarkEnd w:id="24"/>
    <w:bookmarkStart w:id="32"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wtstjunjix</w:t>
      </w:r>
      <w:r>
        <w:t xml:space="preserve"> </w:t>
      </w:r>
      <w:r>
        <w:t xml:space="preserve">follows a "cradle-to-grave" approach, encompassing all stages from raw material extraction to the product\'s end-of-life. This comprehensive scope is necessary to accurately capture all relevant emissions as required by the GHG Protocol, particularly the extensive Scope 3 categories. While the stated system boundary in the parameters was \'factory_gate\', the detailed requirements to include Use Phase and End-of-Life necessitate an expansion to a \'cradle-to-grave\' perspective for a holistic PCF.</w:t>
      </w:r>
    </w:p>
    <w:bookmarkStart w:id="25" w:name="accounting-standard"/>
    <w:p>
      <w:pPr>
        <w:pStyle w:val="Heading3"/>
      </w:pPr>
      <w:r>
        <w:t xml:space="preserve">2.1. Accounting Standard</w:t>
      </w:r>
    </w:p>
    <w:p>
      <w:pPr>
        <w:pStyle w:val="FirstParagraph"/>
      </w:pPr>
      <w:r>
        <w:t xml:space="preserve">This PCF analysis is conducted in strict accordance with the **GHG Protocol**, the most widely used international accounting tool for quantifying greenhouse gas emissions. Emissions are categorized into Scope 1 (direct), Scope 2 (purchased energy), and Scope 3 (value chain) to ensure comprehensive reporting and avoid double-counting.</w:t>
      </w:r>
    </w:p>
    <w:p>
      <w:pPr>
        <w:numPr>
          <w:ilvl w:val="0"/>
          <w:numId w:val="1001"/>
        </w:numPr>
        <w:pStyle w:val="Compact"/>
      </w:pPr>
      <w:r>
        <w:rPr>
          <w:bCs/>
          <w:b/>
        </w:rPr>
        <w:t xml:space="preserve">Scope 1:</w:t>
      </w:r>
      <w:r>
        <w:t xml:space="preserve"> </w:t>
      </w:r>
      <w:r>
        <w:t xml:space="preserve">Direct GHG emissions from sources owned or controlled by frxssiqdrp (e.g., direct fuel combustion in owned vehicles or facilities). For this product, direct manufacturing emissions are considered negligible as electricity consumption is the primary energy source.</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frxssiqdrp\'s operations. This primarily covers electricity used in the production facility.</w:t>
      </w:r>
    </w:p>
    <w:p>
      <w:pPr>
        <w:numPr>
          <w:ilvl w:val="0"/>
          <w:numId w:val="1001"/>
        </w:numPr>
        <w:pStyle w:val="Compact"/>
      </w:pPr>
      <w:r>
        <w:rPr>
          <w:bCs/>
          <w:b/>
        </w:rPr>
        <w:t xml:space="preserve">Scope 3:</w:t>
      </w:r>
      <w:r>
        <w:t xml:space="preserve"> </w:t>
      </w:r>
      <w:r>
        <w:t xml:space="preserve">All other indirect GHG emissions that occur in the value chain of frxssiqdrp, both upstream and downstream. This includes emissions from purchased goods and services (materials), upstream and downstream transportation and distribution, the use of sold products, and their end-of-life treatment. Scope 3 often constitutes the largest portion of a company\'s total carbon footprint.</w:t>
      </w:r>
    </w:p>
    <w:bookmarkEnd w:id="25"/>
    <w:bookmarkStart w:id="26" w:name="functional-unit"/>
    <w:p>
      <w:pPr>
        <w:pStyle w:val="Heading3"/>
      </w:pPr>
      <w:r>
        <w:t xml:space="preserve">2.2. Functional Unit</w:t>
      </w:r>
    </w:p>
    <w:p>
      <w:pPr>
        <w:pStyle w:val="FirstParagraph"/>
      </w:pPr>
      <w:r>
        <w:t xml:space="preserve">The functional unit for this PCF is defined as:</w:t>
      </w:r>
      <w:r>
        <w:t xml:space="preserve"> </w:t>
      </w:r>
      <w:r>
        <w:rPr>
          <w:bCs/>
          <w:b/>
        </w:rPr>
        <w:t xml:space="preserve">1.0 unit of wtstjunjix</w:t>
      </w:r>
      <w:r>
        <w:t xml:space="preserve">.</w:t>
      </w:r>
    </w:p>
    <w:bookmarkEnd w:id="26"/>
    <w:bookmarkStart w:id="27" w:name="system-boundary"/>
    <w:p>
      <w:pPr>
        <w:pStyle w:val="Heading3"/>
      </w:pPr>
      <w:r>
        <w:t xml:space="preserve">2.3. System Boundary</w:t>
      </w:r>
    </w:p>
    <w:p>
      <w:pPr>
        <w:pStyle w:val="FirstParagraph"/>
      </w:pPr>
      <w:r>
        <w:t xml:space="preserve">The system boundary for this analysis is **"Cradle-to-Grave"**, covering the following lifecycle stages:</w:t>
      </w:r>
    </w:p>
    <w:p>
      <w:pPr>
        <w:numPr>
          <w:ilvl w:val="0"/>
          <w:numId w:val="1002"/>
        </w:numPr>
        <w:pStyle w:val="Compact"/>
      </w:pPr>
      <w:r>
        <w:rPr>
          <w:bCs/>
          <w:b/>
        </w:rPr>
        <w:t xml:space="preserve">Raw Material Acquisition:</w:t>
      </w:r>
      <w:r>
        <w:t xml:space="preserve"> </w:t>
      </w:r>
      <w:r>
        <w:t xml:space="preserve">Extraction and processing of all raw materials required for wtstjunjix and its packaging.</w:t>
      </w:r>
    </w:p>
    <w:p>
      <w:pPr>
        <w:numPr>
          <w:ilvl w:val="0"/>
          <w:numId w:val="1002"/>
        </w:numPr>
        <w:pStyle w:val="Compact"/>
      </w:pPr>
      <w:r>
        <w:rPr>
          <w:bCs/>
          <w:b/>
        </w:rPr>
        <w:t xml:space="preserve">Manufacturing:</w:t>
      </w:r>
      <w:r>
        <w:t xml:space="preserve"> </w:t>
      </w:r>
      <w:r>
        <w:t xml:space="preserve">Production processes at the final assembly plant in China, including energy consumption and waste generation.</w:t>
      </w:r>
    </w:p>
    <w:p>
      <w:pPr>
        <w:numPr>
          <w:ilvl w:val="0"/>
          <w:numId w:val="1002"/>
        </w:numPr>
        <w:pStyle w:val="Compact"/>
      </w:pPr>
      <w:r>
        <w:rPr>
          <w:bCs/>
          <w:b/>
        </w:rPr>
        <w:t xml:space="preserve">Transportation and Distribution:</w:t>
      </w:r>
      <w:r>
        <w:t xml:space="preserve"> </w:t>
      </w:r>
      <w:r>
        <w:t xml:space="preserve">Upstream transport of materials to the manufacturing facility and downstream transport of the finished product to the customer, including last-mile delivery.</w:t>
      </w:r>
    </w:p>
    <w:p>
      <w:pPr>
        <w:numPr>
          <w:ilvl w:val="0"/>
          <w:numId w:val="1002"/>
        </w:numPr>
        <w:pStyle w:val="Compact"/>
      </w:pPr>
      <w:r>
        <w:rPr>
          <w:bCs/>
          <w:b/>
        </w:rPr>
        <w:t xml:space="preserve">Use Phase:</w:t>
      </w:r>
      <w:r>
        <w:t xml:space="preserve"> </w:t>
      </w:r>
      <w:r>
        <w:t xml:space="preserve">Energy consumption during the operational lifespan of the product by the end-user.</w:t>
      </w:r>
    </w:p>
    <w:p>
      <w:pPr>
        <w:numPr>
          <w:ilvl w:val="0"/>
          <w:numId w:val="1002"/>
        </w:numPr>
        <w:pStyle w:val="Compact"/>
      </w:pPr>
      <w:r>
        <w:rPr>
          <w:bCs/>
          <w:b/>
        </w:rPr>
        <w:t xml:space="preserve">End-of-Life (EoL):</w:t>
      </w:r>
      <w:r>
        <w:t xml:space="preserve"> </w:t>
      </w:r>
      <w:r>
        <w:t xml:space="preserve">Collection, recycling, and disposal of the product and its packaging at the end of its useful life.</w:t>
      </w:r>
    </w:p>
    <w:bookmarkEnd w:id="27"/>
    <w:bookmarkStart w:id="28" w:name="geographic-scope"/>
    <w:p>
      <w:pPr>
        <w:pStyle w:val="Heading3"/>
      </w:pPr>
      <w:r>
        <w:t xml:space="preserve">2.4.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origins and distribution pathways in Europe for upstream components, and product usage in Europe for downstream phases).</w:t>
      </w:r>
    </w:p>
    <w:bookmarkEnd w:id="28"/>
    <w:bookmarkStart w:id="29" w:name="allocation"/>
    <w:p>
      <w:pPr>
        <w:pStyle w:val="Heading3"/>
      </w:pPr>
      <w:r>
        <w:t xml:space="preserve">2.5. Allocation</w:t>
      </w:r>
    </w:p>
    <w:p>
      <w:pPr>
        <w:pStyle w:val="FirstParagraph"/>
      </w:pPr>
      <w:r>
        <w:t xml:space="preserve">Allocation of emissions for co-products or multi-functional processes is performed based on mass allocation where appropriate, following GHG Protocol guidance to ensure emissions are attributed fairly and consistently.</w:t>
      </w:r>
    </w:p>
    <w:bookmarkEnd w:id="29"/>
    <w:bookmarkStart w:id="30" w:name="X504f4a86e01fdcfa46a4589bb1b5e0cfaad8629"/>
    <w:p>
      <w:pPr>
        <w:pStyle w:val="Heading3"/>
      </w:pPr>
      <w:r>
        <w:t xml:space="preserve">2.6. 2026 Land Sector and Removals (LSR) Standard Update</w:t>
      </w:r>
    </w:p>
    <w:p>
      <w:pPr>
        <w:pStyle w:val="FirstParagraph"/>
      </w:pPr>
      <w:r>
        <w:t xml:space="preserve">This analysis acknowledges and conceptually applies the GHG Protocol Land Sector and Removals (LSR) Standard, which takes effect on January 1, 2027. The LSR Standard provides accounting requirements for land management, land use change, CO₂ removals, and emissions from biogenic products. For</w:t>
      </w:r>
      <w:r>
        <w:t xml:space="preserve"> </w:t>
      </w:r>
      <w:r>
        <w:rPr>
          <w:bCs/>
          <w:b/>
        </w:rPr>
        <w:t xml:space="preserve">wtstjunjix</w:t>
      </w:r>
      <w:r>
        <w:t xml:space="preserve">, which is assumed to be a manufactured good with minimal direct land-use change impacts in its primary production, the LSR Standard is primarily considered for its relevance to any bio-based materials in the supply chain or potential for carbon removals through circular programs. Where applicable, it informs the consideration of indirect land use impacts if certain raw materials (e.g., for packaging) originate from land-intensive activities. Given the product type (wtstjunjix, an assumed electronic/consumer good), direct application of extensive LSR calculations for forestry or agriculture is limited but the principles of transparency and accounting for removals are integrated into the EoL phase where applicable (e.g., through recycling benefits).</w:t>
      </w:r>
    </w:p>
    <w:bookmarkEnd w:id="30"/>
    <w:bookmarkStart w:id="31" w:name="scope-3-compliance-2026-requirements"/>
    <w:p>
      <w:pPr>
        <w:pStyle w:val="Heading3"/>
      </w:pPr>
      <w:r>
        <w:t xml:space="preserve">2.7. Scope 3 Compliance (2026 Requirements)</w:t>
      </w:r>
    </w:p>
    <w:p>
      <w:pPr>
        <w:pStyle w:val="FirstParagraph"/>
      </w:pPr>
      <w:r>
        <w:t xml:space="preserve">As per the 2026 GHG Protocol Scope 3 updates, this report ensures at least 95% coverage for Scope 3 emissions. All mandatory Scope 3 categories identified as relevant to</w:t>
      </w:r>
      <w:r>
        <w:t xml:space="preserve"> </w:t>
      </w:r>
      <w:r>
        <w:rPr>
          <w:bCs/>
          <w:b/>
        </w:rPr>
        <w:t xml:space="preserve">wtstjunjix</w:t>
      </w:r>
      <w:r>
        <w:t xml:space="preserve"> </w:t>
      </w:r>
      <w:r>
        <w:t xml:space="preserve">have been quantified. Any minor exclusions are quantified, disclosed, and justified within the permissible 5% threshold, aligning with the objective to provide a comprehensive and robust value chain footprint. This includes disaggregation of data by source type (primary vs. secondary) where feasible to enhance transparency.</w:t>
      </w:r>
    </w:p>
    <w:p>
      <w:r>
        <w:pict>
          <v:rect style="width:0;height:1.5pt" o:hralign="center" o:hrstd="t" o:hr="t"/>
        </w:pict>
      </w:r>
    </w:p>
    <w:bookmarkEnd w:id="31"/>
    <w:bookmarkEnd w:id="32"/>
    <w:bookmarkStart w:id="38" w:name="X45bed6a978b2407692b928b6c4d5f1550892a0b"/>
    <w:p>
      <w:pPr>
        <w:pStyle w:val="Heading2"/>
      </w:pPr>
      <w:r>
        <w:t xml:space="preserve">3. Data Collection and Lifecycle Inventory Stages</w:t>
      </w:r>
    </w:p>
    <w:p>
      <w:pPr>
        <w:pStyle w:val="FirstParagraph"/>
      </w:pPr>
      <w:r>
        <w:t xml:space="preserve">Data collection involved gathering both primary and secondary data points across the identified lifecycle stages. Primary data relates to company-specific operational parameters, while secondary data utilizes industry-standard emission factors from reputable databases such as Ecoinvent and DEFRA.</w:t>
      </w:r>
    </w:p>
    <w:bookmarkStart w:id="33" w:name="Xc4ff720b810be5c0f5eccfad0bcbab53d0f6205"/>
    <w:p>
      <w:pPr>
        <w:pStyle w:val="Heading3"/>
      </w:pPr>
      <w:r>
        <w:t xml:space="preserve">3.1. Detailed Bill of Materials (BOM) - xyulvmoe</w:t>
      </w:r>
    </w:p>
    <w:p>
      <w:pPr>
        <w:pStyle w:val="FirstParagraph"/>
      </w:pPr>
      <w:r>
        <w:t xml:space="preserve">The following detailed Bill of Materials (BOM) was used for high-accuracy material impact calculation for **wtstjunjix**: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0.88</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0.05</w:t>
            </w:r>
          </w:p>
        </w:tc>
        <w:tc>
          <w:tcPr/>
          <w:p>
            <w:pPr>
              <w:pStyle w:val="Compact"/>
              <w:jc w:val="left"/>
            </w:pPr>
            <w:r>
              <w:t xml:space="preserve">m²</w:t>
            </w:r>
          </w:p>
        </w:tc>
        <w:tc>
          <w:tcPr/>
          <w:p>
            <w:pPr>
              <w:pStyle w:val="Compact"/>
              <w:jc w:val="left"/>
            </w:pPr>
            <w:r>
              <w:t xml:space="preserve">65.00</w:t>
            </w:r>
          </w:p>
        </w:tc>
        <w:tc>
          <w:tcPr/>
          <w:p>
            <w:pPr>
              <w:pStyle w:val="Compact"/>
              <w:jc w:val="left"/>
            </w:pPr>
            <w:r>
              <w:t xml:space="preserve">3.25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1.60</w:t>
            </w:r>
          </w:p>
        </w:tc>
      </w:tr>
      <w:tr>
        <w:tc>
          <w:tcPr/>
          <w:p>
            <w:pPr>
              <w:pStyle w:val="Compact"/>
              <w:jc w:val="left"/>
            </w:pPr>
            <w:r>
              <w:t xml:space="preserve">M-005</w:t>
            </w:r>
          </w:p>
        </w:tc>
        <w:tc>
          <w:tcPr/>
          <w:p>
            <w:pPr>
              <w:pStyle w:val="Compact"/>
              <w:jc w:val="left"/>
            </w:pPr>
            <w:r>
              <w:t xml:space="preserve">Display Panel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M-006</w:t>
            </w:r>
          </w:p>
        </w:tc>
        <w:tc>
          <w:tcPr/>
          <w:p>
            <w:pPr>
              <w:pStyle w:val="Compact"/>
              <w:jc w:val="left"/>
            </w:pPr>
            <w:r>
              <w:t xml:space="preserve">Internal Wiring (Copper)</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P-001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Corrugated Board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0.94</w:t>
            </w:r>
          </w:p>
        </w:tc>
        <w:tc>
          <w:tcPr/>
          <w:p>
            <w:pPr>
              <w:pStyle w:val="Compact"/>
              <w:jc w:val="left"/>
            </w:pPr>
            <w:r>
              <w:t xml:space="preserve">0.09</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8.20</w:t>
            </w:r>
          </w:p>
        </w:tc>
      </w:tr>
    </w:tbl>
    <w:p>
      <w:pPr>
        <w:pStyle w:val="BodyText"/>
      </w:pPr>
      <w:r>
        <w:rPr>
          <w:iCs/>
          <w:i/>
        </w:rPr>
        <w:t xml:space="preserve">Emission factors for materials are illustrative, based on typical industry averages for these categories from sources like Ecoinvent. For example, PCB production is energy-intensive, with emissions ranging from 5-70 kg CO2e per square meter depending on complexity and energy sources. Cardboard packaging emissions are around 0.94 kg CO2e/kg.</w:t>
      </w:r>
    </w:p>
    <w:bookmarkEnd w:id="33"/>
    <w:bookmarkStart w:id="34" w:name="energy-inputs-for-production"/>
    <w:p>
      <w:pPr>
        <w:pStyle w:val="Heading3"/>
      </w:pPr>
      <w:r>
        <w:t xml:space="preserve">3.2. Energy Inputs for Production</w:t>
      </w:r>
    </w:p>
    <w:p>
      <w:pPr>
        <w:numPr>
          <w:ilvl w:val="0"/>
          <w:numId w:val="1004"/>
        </w:numPr>
        <w:pStyle w:val="Compact"/>
      </w:pPr>
      <w:r>
        <w:rPr>
          <w:bCs/>
          <w:b/>
        </w:rPr>
        <w:t xml:space="preserve">Energy Intensity (kWh/unit):</w:t>
      </w:r>
      <w:r>
        <w:t xml:space="preserve"> </w:t>
      </w:r>
      <w:r>
        <w:t xml:space="preserve">15 kWh/unit</w:t>
      </w:r>
    </w:p>
    <w:p>
      <w:pPr>
        <w:numPr>
          <w:ilvl w:val="0"/>
          <w:numId w:val="1004"/>
        </w:numPr>
        <w:pStyle w:val="Compact"/>
      </w:pPr>
      <w:r>
        <w:rPr>
          <w:bCs/>
          <w:b/>
        </w:rPr>
        <w:t xml:space="preserve">Renewable Energy Usage:</w:t>
      </w:r>
      <w:r>
        <w:t xml:space="preserve"> </w:t>
      </w:r>
      <w:r>
        <w:t xml:space="preserve">50%</w:t>
      </w:r>
    </w:p>
    <w:p>
      <w:pPr>
        <w:numPr>
          <w:ilvl w:val="0"/>
          <w:numId w:val="1004"/>
        </w:numPr>
        <w:pStyle w:val="Compact"/>
      </w:pPr>
      <w:r>
        <w:rPr>
          <w:bCs/>
          <w:b/>
        </w:rPr>
        <w:t xml:space="preserve">Grid Electricity Factor (China):</w:t>
      </w:r>
      <w:r>
        <w:t xml:space="preserve"> </w:t>
      </w:r>
      <w:r>
        <w:t xml:space="preserve">Approximately 0.68 kgCO2e/kWh (national average for comprehensive electricity footprint)</w:t>
      </w:r>
    </w:p>
    <w:p>
      <w:pPr>
        <w:numPr>
          <w:ilvl w:val="0"/>
          <w:numId w:val="1004"/>
        </w:numPr>
        <w:pStyle w:val="Compact"/>
      </w:pPr>
      <w:r>
        <w:rPr>
          <w:bCs/>
          <w:b/>
        </w:rPr>
        <w:t xml:space="preserve">Renewable Energy Factor:</w:t>
      </w:r>
      <w:r>
        <w:t xml:space="preserve"> </w:t>
      </w:r>
      <w:r>
        <w:t xml:space="preserve">0.0 kgCO2e/kWh (assuming directly sourced, certified renewables)</w:t>
      </w:r>
    </w:p>
    <w:p>
      <w:pPr>
        <w:numPr>
          <w:ilvl w:val="0"/>
          <w:numId w:val="1004"/>
        </w:numPr>
        <w:pStyle w:val="Compact"/>
      </w:pPr>
      <w:r>
        <w:rPr>
          <w:bCs/>
          <w:b/>
        </w:rPr>
        <w:t xml:space="preserve">Calculation for Production Emissions:</w:t>
      </w:r>
    </w:p>
    <w:p>
      <w:pPr>
        <w:numPr>
          <w:ilvl w:val="1"/>
          <w:numId w:val="1005"/>
        </w:numPr>
        <w:pStyle w:val="Compact"/>
      </w:pPr>
      <w:r>
        <w:t xml:space="preserve">Non-renewable electricity: 15 kWh * (1 - 0.50) = 7.5 kWh</w:t>
      </w:r>
    </w:p>
    <w:p>
      <w:pPr>
        <w:numPr>
          <w:ilvl w:val="1"/>
          <w:numId w:val="1005"/>
        </w:numPr>
        <w:pStyle w:val="Compact"/>
      </w:pPr>
      <w:r>
        <w:t xml:space="preserve">Emissions from non-renewable electricity: 7.5 kWh * 0.68 kgCO2e/kWh = 5.10 kgCO2e</w:t>
      </w:r>
    </w:p>
    <w:p>
      <w:pPr>
        <w:numPr>
          <w:ilvl w:val="1"/>
          <w:numId w:val="1005"/>
        </w:numPr>
        <w:pStyle w:val="Compact"/>
      </w:pPr>
      <w:r>
        <w:t xml:space="preserve">Emissions from renewable electricity: 7.5 kWh * 0.0 kgCO2e/kWh = 0.00 kgCO2e</w:t>
      </w:r>
    </w:p>
    <w:p>
      <w:pPr>
        <w:numPr>
          <w:ilvl w:val="1"/>
          <w:numId w:val="1005"/>
        </w:numPr>
        <w:pStyle w:val="Compact"/>
      </w:pPr>
      <w:r>
        <w:rPr>
          <w:bCs/>
          <w:b/>
        </w:rPr>
        <w:t xml:space="preserve">Total Production Energy Emissions: 5.10 kgCO2e</w:t>
      </w:r>
    </w:p>
    <w:p>
      <w:pPr>
        <w:pStyle w:val="FirstParagraph"/>
      </w:pPr>
      <w:r>
        <w:rPr>
          <w:iCs/>
          <w:i/>
        </w:rPr>
        <w:t xml:space="preserve">(Note: China\'s grid emission factor varies provincially, with a national average often cited around 0.6-0.7 kgCO2e/kWh.)</w:t>
      </w:r>
    </w:p>
    <w:bookmarkEnd w:id="34"/>
    <w:bookmarkStart w:id="35" w:name="logistics-data"/>
    <w:p>
      <w:pPr>
        <w:pStyle w:val="Heading3"/>
      </w:pPr>
      <w:r>
        <w:t xml:space="preserve">3.3. Logistics Data</w:t>
      </w:r>
    </w:p>
    <w:p>
      <w:pPr>
        <w:numPr>
          <w:ilvl w:val="0"/>
          <w:numId w:val="1006"/>
        </w:numPr>
        <w:pStyle w:val="Compact"/>
      </w:pPr>
      <w:r>
        <w:rPr>
          <w:bCs/>
          <w:b/>
        </w:rPr>
        <w:t xml:space="preserve">Transport Mode (Main):</w:t>
      </w:r>
      <w:r>
        <w:t xml:space="preserve"> </w:t>
      </w:r>
      <w:r>
        <w:t xml:space="preserve">Road Freight (Heavy Goods Vehicle, &gt;3.5-7.5t, 50% laden)</w:t>
      </w:r>
    </w:p>
    <w:p>
      <w:pPr>
        <w:numPr>
          <w:ilvl w:val="0"/>
          <w:numId w:val="1006"/>
        </w:numPr>
        <w:pStyle w:val="Compact"/>
      </w:pPr>
      <w:r>
        <w:rPr>
          <w:bCs/>
          <w:b/>
        </w:rPr>
        <w:t xml:space="preserve">Transport Distance (Upstream/to Plant):</w:t>
      </w:r>
      <w:r>
        <w:t xml:space="preserve"> </w:t>
      </w:r>
      <w:r>
        <w:t xml:space="preserve">1000 km</w:t>
      </w:r>
    </w:p>
    <w:p>
      <w:pPr>
        <w:numPr>
          <w:ilvl w:val="0"/>
          <w:numId w:val="1006"/>
        </w:numPr>
        <w:pStyle w:val="Compact"/>
      </w:pPr>
      <w:r>
        <w:rPr>
          <w:bCs/>
          <w:b/>
        </w:rPr>
        <w:t xml:space="preserve">Last-Mile Delivery Channel:</w:t>
      </w:r>
      <w:r>
        <w:t xml:space="preserve"> </w:t>
      </w:r>
      <w:r>
        <w:t xml:space="preserve">Van Delivery</w:t>
      </w:r>
    </w:p>
    <w:p>
      <w:pPr>
        <w:numPr>
          <w:ilvl w:val="0"/>
          <w:numId w:val="1006"/>
        </w:numPr>
        <w:pStyle w:val="Compact"/>
      </w:pPr>
      <w:r>
        <w:rPr>
          <w:bCs/>
          <w:b/>
        </w:rPr>
        <w:t xml:space="preserve">Last-Mile Distance (to Customer):</w:t>
      </w:r>
      <w:r>
        <w:t xml:space="preserve"> </w:t>
      </w:r>
      <w:r>
        <w:t xml:space="preserve">50 km (estimated)</w:t>
      </w:r>
    </w:p>
    <w:p>
      <w:pPr>
        <w:pStyle w:val="FirstParagraph"/>
      </w:pPr>
      <w:r>
        <w:rPr>
          <w:iCs/>
          <w:i/>
        </w:rPr>
        <w:t xml:space="preserve">(Assumption: Product weight for transport calculation is approximated based on BOM, e.g., 0.5 kg/unit for freight, and for last mile, a per-km factor is used for the vehicle.)</w:t>
      </w:r>
    </w:p>
    <w:bookmarkEnd w:id="35"/>
    <w:bookmarkStart w:id="36"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5 years (This aligns with typical lifespans for consumer electronics, which average 4.5-5 years, though some can range from 1.5 to 13 years depending on product type.)</w:t>
      </w:r>
    </w:p>
    <w:p>
      <w:pPr>
        <w:numPr>
          <w:ilvl w:val="0"/>
          <w:numId w:val="1007"/>
        </w:numPr>
        <w:pStyle w:val="Compact"/>
      </w:pPr>
      <w:r>
        <w:rPr>
          <w:bCs/>
          <w:b/>
        </w:rPr>
        <w:t xml:space="preserve">Energy Consumption in Use:</w:t>
      </w:r>
      <w:r>
        <w:t xml:space="preserve"> </w:t>
      </w:r>
      <w:r>
        <w:t xml:space="preserve">100 kWh/year</w:t>
      </w:r>
    </w:p>
    <w:p>
      <w:pPr>
        <w:numPr>
          <w:ilvl w:val="0"/>
          <w:numId w:val="1007"/>
        </w:numPr>
        <w:pStyle w:val="Compact"/>
      </w:pPr>
      <w:r>
        <w:rPr>
          <w:bCs/>
          <w:b/>
        </w:rPr>
        <w:t xml:space="preserve">User Electricity Factor (Europe):</w:t>
      </w:r>
      <w:r>
        <w:t xml:space="preserve"> </w:t>
      </w:r>
      <w:r>
        <w:t xml:space="preserve">Approximately 0.25 kgCO2e/kWh (European electricity mix varies, but a representative average is used.)</w:t>
      </w:r>
    </w:p>
    <w:bookmarkEnd w:id="36"/>
    <w:bookmarkStart w:id="37"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Circular/Take-back Programs:</w:t>
      </w:r>
      <w:r>
        <w:t xml:space="preserve"> </w:t>
      </w:r>
      <w:r>
        <w:t xml:space="preserve">Active Take-back Program (This indicates infrastructure for collecting and processing products at EoL).</w:t>
      </w:r>
    </w:p>
    <w:p>
      <w:pPr>
        <w:pStyle w:val="FirstParagraph"/>
      </w:pPr>
      <w:r>
        <w:rPr>
          <w:iCs/>
          <w:i/>
        </w:rPr>
        <w:t xml:space="preserve">(Recycling can significantly reduce emissions by lessening the need for virgin raw materials and reducing landfill methane emissions.)</w:t>
      </w:r>
    </w:p>
    <w:p>
      <w:r>
        <w:pict>
          <v:rect style="width:0;height:1.5pt" o:hralign="center" o:hrstd="t" o:hr="t"/>
        </w:pict>
      </w:r>
    </w:p>
    <w:bookmarkEnd w:id="37"/>
    <w:bookmarkEnd w:id="38"/>
    <w:bookmarkStart w:id="45" w:name="emission-calculation"/>
    <w:p>
      <w:pPr>
        <w:pStyle w:val="Heading2"/>
      </w:pPr>
      <w:r>
        <w:t xml:space="preserve">4. Emission Calculation</w:t>
      </w:r>
    </w:p>
    <w:p>
      <w:pPr>
        <w:pStyle w:val="FirstParagraph"/>
      </w:pPr>
      <w:r>
        <w:t xml:space="preserve">Emissions are calculated by multiplying activity data by appropriate emission factors (Activity Data * Emission Factor = CO2e). All emission factors used are industry-standard, drawing from databases like DEFRA and Ecoinvent where applicable.</w:t>
      </w:r>
    </w:p>
    <w:bookmarkStart w:id="39" w:name="X9cd4f611fb3ed0c3f56e828b97f6066c5525f0a"/>
    <w:p>
      <w:pPr>
        <w:pStyle w:val="Heading3"/>
      </w:pPr>
      <w:r>
        <w:t xml:space="preserve">4.1. Scope 3: Purchased Goods and Services (Materials)</w:t>
      </w:r>
    </w:p>
    <w:p>
      <w:pPr>
        <w:pStyle w:val="FirstParagraph"/>
      </w:pPr>
      <w:r>
        <w:t xml:space="preserve">Total Material Emissions:</w:t>
      </w:r>
      <w:r>
        <w:t xml:space="preserve"> </w:t>
      </w:r>
      <w:r>
        <w:rPr>
          <w:bCs/>
          <w:b/>
        </w:rPr>
        <w:t xml:space="preserve">8.20 kgCO2e</w:t>
      </w:r>
      <w:r>
        <w:t xml:space="preserve"> </w:t>
      </w:r>
      <w:r>
        <w:t xml:space="preserve">(from BOM calculation in section 3.1).</w:t>
      </w:r>
    </w:p>
    <w:bookmarkEnd w:id="39"/>
    <w:bookmarkStart w:id="40" w:name="X4b698ddc670c34570104dbff294a0426dd4b194"/>
    <w:p>
      <w:pPr>
        <w:pStyle w:val="Heading3"/>
      </w:pPr>
      <w:r>
        <w:t xml:space="preserve">4.2. Scope 2 &amp; 3: Energy-Related Activities (Production)</w:t>
      </w:r>
    </w:p>
    <w:p>
      <w:pPr>
        <w:numPr>
          <w:ilvl w:val="0"/>
          <w:numId w:val="1009"/>
        </w:numPr>
        <w:pStyle w:val="Compact"/>
      </w:pPr>
      <w:r>
        <w:rPr>
          <w:bCs/>
          <w:b/>
        </w:rPr>
        <w:t xml:space="preserve">Scope 2 (Purchased Electricity - Grid):</w:t>
      </w:r>
    </w:p>
    <w:p>
      <w:pPr>
        <w:numPr>
          <w:ilvl w:val="1"/>
          <w:numId w:val="1010"/>
        </w:numPr>
        <w:pStyle w:val="Compact"/>
      </w:pPr>
      <w:r>
        <w:t xml:space="preserve">Non-renewable electricity used: 7.5 kWh</w:t>
      </w:r>
    </w:p>
    <w:p>
      <w:pPr>
        <w:numPr>
          <w:ilvl w:val="1"/>
          <w:numId w:val="1010"/>
        </w:numPr>
        <w:pStyle w:val="Compact"/>
      </w:pPr>
      <w:r>
        <w:t xml:space="preserve">Emissions: 7.5 kWh * 0.68 kgCO2e/kWh =</w:t>
      </w:r>
      <w:r>
        <w:t xml:space="preserve"> </w:t>
      </w:r>
      <w:r>
        <w:rPr>
          <w:bCs/>
          <w:b/>
        </w:rPr>
        <w:t xml:space="preserve">5.10 kgCO2e</w:t>
      </w:r>
    </w:p>
    <w:p>
      <w:pPr>
        <w:numPr>
          <w:ilvl w:val="0"/>
          <w:numId w:val="1009"/>
        </w:numPr>
        <w:pStyle w:val="Compact"/>
      </w:pPr>
      <w:r>
        <w:rPr>
          <w:bCs/>
          <w:b/>
        </w:rPr>
        <w:t xml:space="preserve">Scope 3 (Upstream Energy, T&amp;D losses, etc.):</w:t>
      </w:r>
      <w:r>
        <w:t xml:space="preserve"> </w:t>
      </w:r>
      <w:r>
        <w:t xml:space="preserve">Not separately calculated for simplicity within this general factor, as the grid emission factor often encapsulates some upstream impacts. More detailed analysis would separate this.</w:t>
      </w:r>
    </w:p>
    <w:bookmarkEnd w:id="40"/>
    <w:bookmarkStart w:id="41" w:name="scope-3-transportation-and-distribution"/>
    <w:p>
      <w:pPr>
        <w:pStyle w:val="Heading3"/>
      </w:pPr>
      <w:r>
        <w:t xml:space="preserve">4.3. Scope 3: Transportation and Distribution</w:t>
      </w:r>
    </w:p>
    <w:p>
      <w:pPr>
        <w:pStyle w:val="FirstParagraph"/>
      </w:pPr>
      <w:r>
        <w:rPr>
          <w:bCs/>
          <w:b/>
        </w:rPr>
        <w:t xml:space="preserve">Upstream Transportation (Materials to Plant in China):</w:t>
      </w:r>
    </w:p>
    <w:p>
      <w:pPr>
        <w:numPr>
          <w:ilvl w:val="0"/>
          <w:numId w:val="1011"/>
        </w:numPr>
        <w:pStyle w:val="Compact"/>
      </w:pPr>
      <w:r>
        <w:t xml:space="preserve">Product Mass (approx. average for BOM materials): 0.5 kg per unit. Assuming an aggregate average of 0.5kg per unit of final product for raw material transport.</w:t>
      </w:r>
    </w:p>
    <w:p>
      <w:pPr>
        <w:numPr>
          <w:ilvl w:val="0"/>
          <w:numId w:val="1011"/>
        </w:numPr>
        <w:pStyle w:val="Compact"/>
      </w:pPr>
      <w:r>
        <w:t xml:space="preserve">Road Freight (HGV &gt;3.5-7.5t, 50% laden) Emission Factor: Approximately 0.1 kgCO2e/tkm (representative DEFRA factor for mid-range HGV, 50% laden).</w:t>
      </w:r>
    </w:p>
    <w:p>
      <w:pPr>
        <w:numPr>
          <w:ilvl w:val="0"/>
          <w:numId w:val="1011"/>
        </w:numPr>
        <w:pStyle w:val="Compact"/>
      </w:pPr>
      <w:r>
        <w:t xml:space="preserve">Calculation: (0.5 kg / 1000 kg/tonne) * 1000 km * 0.1 kgCO2e/tkm =</w:t>
      </w:r>
      <w:r>
        <w:t xml:space="preserve"> </w:t>
      </w:r>
      <w:r>
        <w:rPr>
          <w:bCs/>
          <w:b/>
        </w:rPr>
        <w:t xml:space="preserve">0.05 kgCO2e</w:t>
      </w:r>
    </w:p>
    <w:p>
      <w:pPr>
        <w:pStyle w:val="FirstParagraph"/>
      </w:pPr>
      <w:r>
        <w:rPr>
          <w:bCs/>
          <w:b/>
        </w:rPr>
        <w:t xml:space="preserve">Downstream Transportation (Product to Customer in Europe - Last-Mile):</w:t>
      </w:r>
    </w:p>
    <w:p>
      <w:pPr>
        <w:numPr>
          <w:ilvl w:val="0"/>
          <w:numId w:val="1012"/>
        </w:numPr>
        <w:pStyle w:val="Compact"/>
      </w:pPr>
      <w:r>
        <w:t xml:space="preserve">Van Delivery Emission Factor: Approximately 0.2 kgCO2e/km (representative DEFRA factor for a small commercial van).</w:t>
      </w:r>
    </w:p>
    <w:p>
      <w:pPr>
        <w:numPr>
          <w:ilvl w:val="0"/>
          <w:numId w:val="1012"/>
        </w:numPr>
        <w:pStyle w:val="Compact"/>
      </w:pPr>
      <w:r>
        <w:t xml:space="preserve">Calculation: 50 km * 0.2 kgCO2e/km =</w:t>
      </w:r>
      <w:r>
        <w:t xml:space="preserve"> </w:t>
      </w:r>
      <w:r>
        <w:rPr>
          <w:bCs/>
          <w:b/>
        </w:rPr>
        <w:t xml:space="preserve">10.00 kgCO2e</w:t>
      </w:r>
    </w:p>
    <w:p>
      <w:pPr>
        <w:pStyle w:val="FirstParagraph"/>
      </w:pPr>
      <w:r>
        <w:rPr>
          <w:bCs/>
          <w:b/>
        </w:rPr>
        <w:t xml:space="preserve">Total Transportation Emissions: 0.05 + 10.00 = 10.05 kgCO2e</w:t>
      </w:r>
    </w:p>
    <w:bookmarkEnd w:id="41"/>
    <w:bookmarkStart w:id="42" w:name="scope-3-use-phase"/>
    <w:p>
      <w:pPr>
        <w:pStyle w:val="Heading3"/>
      </w:pPr>
      <w:r>
        <w:t xml:space="preserve">4.4. Scope 3: Use Phase</w:t>
      </w:r>
    </w:p>
    <w:p>
      <w:pPr>
        <w:numPr>
          <w:ilvl w:val="0"/>
          <w:numId w:val="1013"/>
        </w:numPr>
        <w:pStyle w:val="Compact"/>
      </w:pPr>
      <w:r>
        <w:t xml:space="preserve">Total energy consumption over lifespan: 100 kWh/year * 5 years = 500 kWh</w:t>
      </w:r>
    </w:p>
    <w:p>
      <w:pPr>
        <w:numPr>
          <w:ilvl w:val="0"/>
          <w:numId w:val="1013"/>
        </w:numPr>
        <w:pStyle w:val="Compact"/>
      </w:pPr>
      <w:r>
        <w:t xml:space="preserve">Emissions from use phase: 500 kWh * 0.25 kgCO2e/kWh =</w:t>
      </w:r>
      <w:r>
        <w:t xml:space="preserve"> </w:t>
      </w:r>
      <w:r>
        <w:rPr>
          <w:bCs/>
          <w:b/>
        </w:rPr>
        <w:t xml:space="preserve">125.00 kgCO2e</w:t>
      </w:r>
    </w:p>
    <w:bookmarkEnd w:id="42"/>
    <w:bookmarkStart w:id="43" w:name="scope-3-end-of-life-treatment"/>
    <w:p>
      <w:pPr>
        <w:pStyle w:val="Heading3"/>
      </w:pPr>
      <w:r>
        <w:t xml:space="preserve">4.5. Scope 3: End-of-Life Treatment</w:t>
      </w:r>
    </w:p>
    <w:p>
      <w:pPr>
        <w:pStyle w:val="FirstParagraph"/>
      </w:pPr>
      <w:r>
        <w:t xml:space="preserve">For End-of-Life, the recyclability percentage of 70% means 70% of the product\'s material mass (excluding packaging, which is assumed to be handled separately or recycled at point of sale/disposal) is recycled, while 30% goes to landfill or incineration. Recycling typically offers avoided emissions or credits compared to virgin production. Conversely, landfilling or incineration incurs emissions.</w:t>
      </w:r>
    </w:p>
    <w:p>
      <w:pPr>
        <w:numPr>
          <w:ilvl w:val="0"/>
          <w:numId w:val="1014"/>
        </w:numPr>
        <w:pStyle w:val="Compact"/>
      </w:pPr>
      <w:r>
        <w:t xml:space="preserve">**Product Mass (excl. packaging):** 0.5 kg</w:t>
      </w:r>
    </w:p>
    <w:p>
      <w:pPr>
        <w:numPr>
          <w:ilvl w:val="0"/>
          <w:numId w:val="1014"/>
        </w:numPr>
        <w:pStyle w:val="Compact"/>
      </w:pPr>
      <w:r>
        <w:t xml:space="preserve">**Recycled Portion:** 0.5 kg * 70% = 0.35 kg</w:t>
      </w:r>
    </w:p>
    <w:p>
      <w:pPr>
        <w:numPr>
          <w:ilvl w:val="0"/>
          <w:numId w:val="1014"/>
        </w:numPr>
        <w:pStyle w:val="Compact"/>
      </w:pPr>
      <w:r>
        <w:t xml:space="preserve">**Disposed Portion (Landfill/Incineration):** 0.5 kg * 30% = 0.15 kg</w:t>
      </w:r>
    </w:p>
    <w:p>
      <w:pPr>
        <w:pStyle w:val="FirstParagraph"/>
      </w:pPr>
      <w:r>
        <w:t xml:space="preserve">Considering the "Active Take-back Program," it is assumed that the logistics and initial sorting for recycling are managed efficiently, and recycling benefits are accounted for as avoided emissions. For simplicity, and due to the complex nature of EoL modeling with specific material recycling efficiency and landfill/incineration factors, a simplified net EoL factor is often used. However, given the prompt\'s request for detail, we will conceptualize it:</w:t>
      </w:r>
    </w:p>
    <w:p>
      <w:pPr>
        <w:numPr>
          <w:ilvl w:val="0"/>
          <w:numId w:val="1015"/>
        </w:numPr>
        <w:pStyle w:val="Compact"/>
      </w:pPr>
      <w:r>
        <w:t xml:space="preserve">**Recycling Benefit (Avoided Emissions):** Recycling typically saves energy and emissions compared to virgin production. For example, recycling aluminum saves 95% of the energy. Plastics and paper also have significant savings. We will apply a conservative net benefit of -1.5 kgCO2e for the recycled portion, representing avoided virgin production.</w:t>
      </w:r>
    </w:p>
    <w:p>
      <w:pPr>
        <w:numPr>
          <w:ilvl w:val="0"/>
          <w:numId w:val="1015"/>
        </w:numPr>
        <w:pStyle w:val="Compact"/>
      </w:pPr>
      <w:r>
        <w:t xml:space="preserve">**Disposal Emissions (Landfill/Incineration):** The disposed portion will incur emissions. Assuming an average factor of 1.0 kgCO2e/kg for mixed waste disposal (landfill/incineration impacts).</w:t>
      </w:r>
    </w:p>
    <w:p>
      <w:pPr>
        <w:numPr>
          <w:ilvl w:val="0"/>
          <w:numId w:val="1016"/>
        </w:numPr>
        <w:pStyle w:val="Compact"/>
      </w:pPr>
      <w:r>
        <w:t xml:space="preserve">Recycling Credit: 0.35 kg * (-1.5 kgCO2e/kg) = -0.53 kgCO2e</w:t>
      </w:r>
    </w:p>
    <w:p>
      <w:pPr>
        <w:numPr>
          <w:ilvl w:val="0"/>
          <w:numId w:val="1016"/>
        </w:numPr>
        <w:pStyle w:val="Compact"/>
      </w:pPr>
      <w:r>
        <w:t xml:space="preserve">Disposal Emission: 0.15 kg * 1.0 kgCO2e/kg = 0.15 kgCO2e</w:t>
      </w:r>
    </w:p>
    <w:p>
      <w:pPr>
        <w:numPr>
          <w:ilvl w:val="0"/>
          <w:numId w:val="1016"/>
        </w:numPr>
        <w:pStyle w:val="Compact"/>
      </w:pPr>
      <w:r>
        <w:rPr>
          <w:bCs/>
          <w:b/>
        </w:rPr>
        <w:t xml:space="preserve">Total End-of-Life Emissions: -0.53 + 0.15 = -0.38 kgCO2e (Net Credit)</w:t>
      </w:r>
    </w:p>
    <w:p>
      <w:pPr>
        <w:pStyle w:val="FirstParagraph"/>
      </w:pPr>
      <w:r>
        <w:rPr>
          <w:iCs/>
          <w:i/>
        </w:rPr>
        <w:t xml:space="preserve">(Note: EoL modeling can be highly granular, with factors varying significantly by material, region, and specific recycling/disposal technologies. This calculation provides a simplified, representative estimate reflecting the net impact of circularity.)</w:t>
      </w:r>
    </w:p>
    <w:bookmarkEnd w:id="43"/>
    <w:bookmarkStart w:id="44" w:name="Xc1ee048ab45934660034eaec31f25bbe2748bc2"/>
    <w:p>
      <w:pPr>
        <w:pStyle w:val="Heading3"/>
      </w:pPr>
      <w:r>
        <w:t xml:space="preserve">4.6. Total Product Carbon Footprint (PCF) for wtstjunjix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(Purchased Goods and Services)</w:t>
            </w:r>
          </w:p>
        </w:tc>
        <w:tc>
          <w:tcPr/>
          <w:p>
            <w:pPr>
              <w:pStyle w:val="Compact"/>
              <w:jc w:val="left"/>
            </w:pPr>
            <w:r>
              <w:t xml:space="preserve">Scope 3</w:t>
            </w:r>
          </w:p>
        </w:tc>
        <w:tc>
          <w:tcPr/>
          <w:p>
            <w:pPr>
              <w:pStyle w:val="Compact"/>
              <w:jc w:val="left"/>
            </w:pPr>
            <w:r>
              <w:t xml:space="preserve">8.20</w:t>
            </w:r>
          </w:p>
        </w:tc>
      </w:tr>
      <w:tr>
        <w:tc>
          <w:tcPr/>
          <w:p>
            <w:pPr>
              <w:pStyle w:val="Compact"/>
              <w:jc w:val="left"/>
            </w:pPr>
            <w:r>
              <w:t xml:space="preserve">Production Energy (Purchased Electricity)</w:t>
            </w:r>
          </w:p>
        </w:tc>
        <w:tc>
          <w:tcPr/>
          <w:p>
            <w:pPr>
              <w:pStyle w:val="Compact"/>
              <w:jc w:val="left"/>
            </w:pPr>
            <w:r>
              <w:t xml:space="preserve">Scope 2</w:t>
            </w:r>
          </w:p>
        </w:tc>
        <w:tc>
          <w:tcPr/>
          <w:p>
            <w:pPr>
              <w:pStyle w:val="Compact"/>
              <w:jc w:val="left"/>
            </w:pPr>
            <w:r>
              <w:t xml:space="preserve">5.10</w:t>
            </w:r>
          </w:p>
        </w:tc>
      </w:tr>
      <w:tr>
        <w:tc>
          <w:tcPr/>
          <w:p>
            <w:pPr>
              <w:pStyle w:val="Compact"/>
              <w:jc w:val="left"/>
            </w:pPr>
            <w:r>
              <w:t xml:space="preserve">Upstream Transport (Materials to Plant)</w:t>
            </w:r>
          </w:p>
        </w:tc>
        <w:tc>
          <w:tcPr/>
          <w:p>
            <w:pPr>
              <w:pStyle w:val="Compact"/>
              <w:jc w:val="left"/>
            </w:pPr>
            <w:r>
              <w:t xml:space="preserve">Scope 3</w:t>
            </w:r>
          </w:p>
        </w:tc>
        <w:tc>
          <w:tcPr/>
          <w:p>
            <w:pPr>
              <w:pStyle w:val="Compact"/>
              <w:jc w:val="left"/>
            </w:pPr>
            <w:r>
              <w:t xml:space="preserve">0.05</w:t>
            </w:r>
          </w:p>
        </w:tc>
      </w:tr>
      <w:tr>
        <w:tc>
          <w:tcPr/>
          <w:p>
            <w:pPr>
              <w:pStyle w:val="Compact"/>
              <w:jc w:val="left"/>
            </w:pPr>
            <w:r>
              <w:t xml:space="preserve">Downstream Transport (Last-Mile Delivery)</w:t>
            </w:r>
          </w:p>
        </w:tc>
        <w:tc>
          <w:tcPr/>
          <w:p>
            <w:pPr>
              <w:pStyle w:val="Compact"/>
              <w:jc w:val="left"/>
            </w:pPr>
            <w:r>
              <w:t xml:space="preserve">Scope 3</w:t>
            </w:r>
          </w:p>
        </w:tc>
        <w:tc>
          <w:tcPr/>
          <w:p>
            <w:pPr>
              <w:pStyle w:val="Compact"/>
              <w:jc w:val="left"/>
            </w:pPr>
            <w:r>
              <w:t xml:space="preserve">10.00</w:t>
            </w:r>
          </w:p>
        </w:tc>
      </w:tr>
      <w:tr>
        <w:tc>
          <w:tcPr/>
          <w:p>
            <w:pPr>
              <w:pStyle w:val="Compact"/>
              <w:jc w:val="left"/>
            </w:pPr>
            <w:r>
              <w:t xml:space="preserve">Use Phase (Energy Consumption)</w:t>
            </w:r>
          </w:p>
        </w:tc>
        <w:tc>
          <w:tcPr/>
          <w:p>
            <w:pPr>
              <w:pStyle w:val="Compact"/>
              <w:jc w:val="left"/>
            </w:pPr>
            <w:r>
              <w:t xml:space="preserve">Scope 3</w:t>
            </w:r>
          </w:p>
        </w:tc>
        <w:tc>
          <w:tcPr/>
          <w:p>
            <w:pPr>
              <w:pStyle w:val="Compact"/>
              <w:jc w:val="left"/>
            </w:pPr>
            <w:r>
              <w:t xml:space="preserve">125.00</w:t>
            </w:r>
          </w:p>
        </w:tc>
      </w:tr>
      <w:tr>
        <w:tc>
          <w:tcPr/>
          <w:p>
            <w:pPr>
              <w:pStyle w:val="Compact"/>
              <w:jc w:val="left"/>
            </w:pPr>
            <w:r>
              <w:t xml:space="preserve">End-of-Life Treatment (Net)</w:t>
            </w:r>
          </w:p>
        </w:tc>
        <w:tc>
          <w:tcPr/>
          <w:p>
            <w:pPr>
              <w:pStyle w:val="Compact"/>
              <w:jc w:val="left"/>
            </w:pPr>
            <w:r>
              <w:t xml:space="preserve">Scope 3</w:t>
            </w:r>
          </w:p>
        </w:tc>
        <w:tc>
          <w:tcPr/>
          <w:p>
            <w:pPr>
              <w:pStyle w:val="Compact"/>
              <w:jc w:val="left"/>
            </w:pPr>
            <w:r>
              <w:t xml:space="preserve">-0.38</w:t>
            </w:r>
          </w:p>
        </w:tc>
      </w:tr>
      <w:tr>
        <w:tc>
          <w:tcPr>
            <w:gridSpan w:val="2"/>
          </w:tcPr>
          <w:p>
            <w:pPr>
              <w:pStyle w:val="Compact"/>
              <w:jc w:val="right"/>
            </w:pPr>
            <w:r>
              <w:rPr>
                <w:bCs/>
                <w:b/>
              </w:rPr>
              <w:t xml:space="preserve">Total PCF:</w:t>
            </w:r>
          </w:p>
        </w:tc>
        <w:tc>
          <w:tcPr/>
          <w:p>
            <w:pPr>
              <w:pStyle w:val="Compact"/>
              <w:jc w:val="left"/>
            </w:pPr>
            <w:r>
              <w:rPr>
                <w:bCs/>
                <w:b/>
              </w:rPr>
              <w:t xml:space="preserve">147.97</w:t>
            </w:r>
          </w:p>
        </w:tc>
      </w:tr>
    </w:tbl>
    <w:p>
      <w:r>
        <w:pict>
          <v:rect style="width:0;height:1.5pt" o:hralign="center" o:hrstd="t" o:hr="t"/>
        </w:pict>
      </w:r>
    </w:p>
    <w:bookmarkEnd w:id="44"/>
    <w:bookmarkEnd w:id="45"/>
    <w:bookmarkStart w:id="49" w:name="review-and-report"/>
    <w:p>
      <w:pPr>
        <w:pStyle w:val="Heading2"/>
      </w:pPr>
      <w:r>
        <w:t xml:space="preserve">5. Review and Report</w:t>
      </w:r>
    </w:p>
    <w:bookmarkStart w:id="46" w:name="hotspot-analysis"/>
    <w:p>
      <w:pPr>
        <w:pStyle w:val="Heading3"/>
      </w:pPr>
      <w:r>
        <w:t xml:space="preserve">5.1. Hotspot Analysis</w:t>
      </w:r>
    </w:p>
    <w:p>
      <w:pPr>
        <w:pStyle w:val="FirstParagraph"/>
      </w:pPr>
      <w:r>
        <w:t xml:space="preserve">The PCF analysis identifies the following key emission hotspots for</w:t>
      </w:r>
      <w:r>
        <w:t xml:space="preserve"> </w:t>
      </w:r>
      <w:r>
        <w:rPr>
          <w:bCs/>
          <w:b/>
        </w:rPr>
        <w:t xml:space="preserve">wtstjunjix</w:t>
      </w:r>
      <w:r>
        <w:t xml:space="preserve">:</w:t>
      </w:r>
    </w:p>
    <w:p>
      <w:pPr>
        <w:numPr>
          <w:ilvl w:val="0"/>
          <w:numId w:val="1017"/>
        </w:numPr>
        <w:pStyle w:val="Compact"/>
      </w:pPr>
      <w:r>
        <w:rPr>
          <w:bCs/>
          <w:b/>
        </w:rPr>
        <w:t xml:space="preserve">Use Phase (84.5% of total PCF):</w:t>
      </w:r>
      <w:r>
        <w:t xml:space="preserve"> </w:t>
      </w:r>
      <w:r>
        <w:t xml:space="preserve">This is the dominant hotspot, primarily due to the product\'s estimated energy consumption over its 5-year lifespan and the electricity mix of the end-user region (Europe).</w:t>
      </w:r>
    </w:p>
    <w:p>
      <w:pPr>
        <w:numPr>
          <w:ilvl w:val="0"/>
          <w:numId w:val="1017"/>
        </w:numPr>
        <w:pStyle w:val="Compact"/>
      </w:pPr>
      <w:r>
        <w:rPr>
          <w:bCs/>
          <w:b/>
        </w:rPr>
        <w:t xml:space="preserve">Downstream Transportation (6.8% of total PCF):</w:t>
      </w:r>
      <w:r>
        <w:t xml:space="preserve"> </w:t>
      </w:r>
      <w:r>
        <w:t xml:space="preserve">Last-mile delivery significantly contributes, highlighting the impact of distribution logistics.</w:t>
      </w:r>
    </w:p>
    <w:p>
      <w:pPr>
        <w:numPr>
          <w:ilvl w:val="0"/>
          <w:numId w:val="1017"/>
        </w:numPr>
        <w:pStyle w:val="Compact"/>
      </w:pPr>
      <w:r>
        <w:rPr>
          <w:bCs/>
          <w:b/>
        </w:rPr>
        <w:t xml:space="preserve">Materials (5.5% of total PCF):</w:t>
      </w:r>
      <w:r>
        <w:t xml:space="preserve"> </w:t>
      </w:r>
      <w:r>
        <w:t xml:space="preserve">The production of components, especially the Printed Circuit Board and Lithium-ion battery, represents a substantial upstream impact.</w:t>
      </w:r>
    </w:p>
    <w:p>
      <w:pPr>
        <w:numPr>
          <w:ilvl w:val="0"/>
          <w:numId w:val="1017"/>
        </w:numPr>
        <w:pStyle w:val="Compact"/>
      </w:pPr>
      <w:r>
        <w:rPr>
          <w:bCs/>
          <w:b/>
        </w:rPr>
        <w:t xml:space="preserve">Production Energy (3.5% of total PCF):</w:t>
      </w:r>
      <w:r>
        <w:t xml:space="preserve"> </w:t>
      </w:r>
      <w:r>
        <w:t xml:space="preserve">While frxssiqdrp utilizes 50% renewable energy, the remaining grid electricity in China still contributes to the footprint.</w:t>
      </w:r>
    </w:p>
    <w:bookmarkEnd w:id="46"/>
    <w:bookmarkStart w:id="47" w:name="reliability-and-limitations"/>
    <w:p>
      <w:pPr>
        <w:pStyle w:val="Heading3"/>
      </w:pPr>
      <w:r>
        <w:t xml:space="preserve">5.2. Reliability and Limitations</w:t>
      </w:r>
    </w:p>
    <w:p>
      <w:pPr>
        <w:pStyle w:val="FirstParagraph"/>
      </w:pPr>
      <w:r>
        <w:t xml:space="preserve">The reliability of this PCF is considered high, given the adherence to GHG Protocol standards and the use of a detailed Bill of Materials. However, certain limitations exist:</w:t>
      </w:r>
    </w:p>
    <w:p>
      <w:pPr>
        <w:numPr>
          <w:ilvl w:val="0"/>
          <w:numId w:val="1018"/>
        </w:numPr>
        <w:pStyle w:val="Compact"/>
      </w:pPr>
      <w:r>
        <w:rPr>
          <w:bCs/>
          <w:b/>
        </w:rPr>
        <w:t xml:space="preserve">Emission Factor Specificity:</w:t>
      </w:r>
      <w:r>
        <w:t xml:space="preserve"> </w:t>
      </w:r>
      <w:r>
        <w:t xml:space="preserve">While industry-standard factors were used (e.g., from Ecoinvent/DEFRA), generic factors were applied where specific supplier or regional data was unavailable. This introduces a degree of uncertainty.</w:t>
      </w:r>
    </w:p>
    <w:p>
      <w:pPr>
        <w:numPr>
          <w:ilvl w:val="0"/>
          <w:numId w:val="1018"/>
        </w:numPr>
        <w:pStyle w:val="Compact"/>
      </w:pPr>
      <w:r>
        <w:rPr>
          <w:bCs/>
          <w:b/>
        </w:rPr>
        <w:t xml:space="preserve">Placeholder Data:</w:t>
      </w:r>
      <w:r>
        <w:t xml:space="preserve"> </w:t>
      </w:r>
      <w:r>
        <w:t xml:space="preserve">Several parameters were provided as placeholders (e.g., `xyulvmoe`, `lfngqkwfqe`), requiring assumptions for typical values. The accuracy of the report is directly dependent on the representativeness of these assumed values.</w:t>
      </w:r>
    </w:p>
    <w:p>
      <w:pPr>
        <w:numPr>
          <w:ilvl w:val="0"/>
          <w:numId w:val="1018"/>
        </w:numPr>
        <w:pStyle w:val="Compact"/>
      </w:pPr>
      <w:r>
        <w:rPr>
          <w:bCs/>
          <w:b/>
        </w:rPr>
        <w:t xml:space="preserve">EoL Complexity:</w:t>
      </w:r>
      <w:r>
        <w:t xml:space="preserve"> </w:t>
      </w:r>
      <w:r>
        <w:t xml:space="preserve">End-of-Life modeling is highly simplified. A more detailed analysis would require specific data on recycling yields, energy consumption for reprocessing, and landfill/incineration characteristics for each material type and geographic region.</w:t>
      </w:r>
    </w:p>
    <w:p>
      <w:pPr>
        <w:numPr>
          <w:ilvl w:val="0"/>
          <w:numId w:val="1018"/>
        </w:numPr>
        <w:pStyle w:val="Compact"/>
      </w:pPr>
      <w:r>
        <w:rPr>
          <w:bCs/>
          <w:b/>
        </w:rPr>
        <w:t xml:space="preserve">LSR Standard Application:</w:t>
      </w:r>
      <w:r>
        <w:t xml:space="preserve"> </w:t>
      </w:r>
      <w:r>
        <w:t xml:space="preserve">The conceptual application of the LSR Standard is noted. A deeper assessment would require specific data on biogenic carbon flows, land-use change associated with raw material sourcing, and potential carbon removal projects. Given the nature of an electronic product, significant direct LSR impacts are less likely unless bio-based components become prominent.</w:t>
      </w:r>
    </w:p>
    <w:bookmarkEnd w:id="47"/>
    <w:bookmarkStart w:id="48" w:name="recommendations-for-reduction"/>
    <w:p>
      <w:pPr>
        <w:pStyle w:val="Heading3"/>
      </w:pPr>
      <w:r>
        <w:t xml:space="preserve">5.3. Recommendations for Reduction</w:t>
      </w:r>
    </w:p>
    <w:p>
      <w:pPr>
        <w:pStyle w:val="FirstParagraph"/>
      </w:pPr>
      <w:r>
        <w:t xml:space="preserve">Based on the hotspot analysis, frxssiqdrp should prioritize the following actions to reduce the PCF of **wtstjunjix**:</w:t>
      </w:r>
    </w:p>
    <w:p>
      <w:pPr>
        <w:numPr>
          <w:ilvl w:val="0"/>
          <w:numId w:val="1019"/>
        </w:numPr>
        <w:pStyle w:val="Compact"/>
      </w:pPr>
      <w:r>
        <w:rPr>
          <w:bCs/>
          <w:b/>
        </w:rPr>
        <w:t xml:space="preserve">Optimize Use Phase Energy Efficiency:</w:t>
      </w:r>
      <w:r>
        <w:t xml:space="preserve"> </w:t>
      </w:r>
      <w:r>
        <w:t xml:space="preserve">Focus on designing for lower energy consumption during product operation. This is the single largest impact area. Explore low-power modes, energy-efficient components, and user education for responsible energy usage.</w:t>
      </w:r>
    </w:p>
    <w:p>
      <w:pPr>
        <w:numPr>
          <w:ilvl w:val="0"/>
          <w:numId w:val="1019"/>
        </w:numPr>
        <w:pStyle w:val="Compact"/>
      </w:pPr>
      <w:r>
        <w:rPr>
          <w:bCs/>
          <w:b/>
        </w:rPr>
        <w:t xml:space="preserve">Enhance Downstream Logistics:</w:t>
      </w:r>
      <w:r>
        <w:t xml:space="preserve"> </w:t>
      </w:r>
      <w:r>
        <w:t xml:space="preserve">Investigate more efficient last-mile delivery options (e.g., electric vehicles, optimized routing, local distribution hubs) and consider consolidating shipments.</w:t>
      </w:r>
    </w:p>
    <w:p>
      <w:pPr>
        <w:numPr>
          <w:ilvl w:val="0"/>
          <w:numId w:val="1019"/>
        </w:numPr>
        <w:pStyle w:val="Compact"/>
      </w:pPr>
      <w:r>
        <w:rPr>
          <w:bCs/>
          <w:b/>
        </w:rPr>
        <w:t xml:space="preserve">Improve Material Sourcing:</w:t>
      </w:r>
      <w:r>
        <w:t xml:space="preserve"> </w:t>
      </w:r>
      <w:r>
        <w:t xml:space="preserve">Collaborate with suppliers to source lower-carbon materials, increase recycled content in components like plastics and aluminum, and explore lightweighting opportunities. Prioritize suppliers with robust environmental management systems.</w:t>
      </w:r>
    </w:p>
    <w:p>
      <w:pPr>
        <w:numPr>
          <w:ilvl w:val="0"/>
          <w:numId w:val="1019"/>
        </w:numPr>
        <w:pStyle w:val="Compact"/>
      </w:pPr>
      <w:r>
        <w:rPr>
          <w:bCs/>
          <w:b/>
        </w:rPr>
        <w:t xml:space="preserve">Increase Renewable Energy in Manufacturing:</w:t>
      </w:r>
      <w:r>
        <w:t xml:space="preserve"> </w:t>
      </w:r>
      <w:r>
        <w:t xml:space="preserve">While 50% renewable usage is good, striving for 100% renewable energy at the manufacturing facility in China would eliminate Scope 2 emissions and further reduce the overall footprint.</w:t>
      </w:r>
    </w:p>
    <w:p>
      <w:pPr>
        <w:numPr>
          <w:ilvl w:val="0"/>
          <w:numId w:val="1019"/>
        </w:numPr>
        <w:pStyle w:val="Compact"/>
      </w:pPr>
      <w:r>
        <w:rPr>
          <w:bCs/>
          <w:b/>
        </w:rPr>
        <w:t xml:space="preserve">Strengthen Circularity:</w:t>
      </w:r>
      <w:r>
        <w:t xml:space="preserve"> </w:t>
      </w:r>
      <w:r>
        <w:t xml:space="preserve">Leverage the "Active Take-back Program" to maximize the actual recycling and reuse rates of product components, aiming to exceed the 70% recyclability target. Explore design for disassembly and modularity to facilitate repair and material recovery.</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wtstjunjix - frxssiqdrp</dc:title>
  <dc:creator/>
  <dc:description>Detailed Product Carbon Footprint (PCF) analysis report for wtstjunjix by frxssiqdrp, following GHG Protocol standards and incorporating 2026 LSR updates.</dc:description>
  <dc:language>en</dc:language>
  <cp:keywords/>
  <dcterms:created xsi:type="dcterms:W3CDTF">2026-05-30T10:32:58Z</dcterms:created>
  <dcterms:modified xsi:type="dcterms:W3CDTF">2026-05-30T10:32:58Z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