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wrssmknmwn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wrssmknmwn</w:t>
      </w:r>
    </w:p>
    <w:p>
      <w:pPr>
        <w:pStyle w:val="BodyText"/>
      </w:pPr>
      <w:r>
        <w:rPr>
          <w:bCs/>
          <w:b/>
        </w:rPr>
        <w:t xml:space="preserve">Company:</w:t>
      </w:r>
      <w:r>
        <w:t xml:space="preserve"> </w:t>
      </w:r>
      <w:r>
        <w:t xml:space="preserve">hehsdeikti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vwhdjouwwp</w:t>
      </w:r>
    </w:p>
    <w:p>
      <w:pPr>
        <w:pStyle w:val="BodyText"/>
      </w:pPr>
      <w:r>
        <w:t xml:space="preserve">This report is generated based on available data and industry standards, including specific client-provided parameters and illustrative emission factors where primary data was unavailable. The calculations represent a high-detail estimate of the product\'s carbon footprint.</w:t>
      </w:r>
    </w:p>
    <w:bookmarkEnd w:id="20"/>
    <w:bookmarkStart w:id="21" w:name="product-carbon-footprint-report"/>
    <w:p>
      <w:pPr>
        <w:pStyle w:val="Heading1"/>
      </w:pPr>
      <w:r>
        <w:t xml:space="preserve">Product Carbon Footprint Report</w:t>
      </w:r>
    </w:p>
    <w:p>
      <w:pPr>
        <w:pStyle w:val="FirstParagraph"/>
      </w:pPr>
      <w:r>
        <w:t xml:space="preserve">Product: wrssmknmwn | Company: hehsdeikti</w:t>
      </w:r>
    </w:p>
    <w:p>
      <w:pPr>
        <w:pStyle w:val="BodyText"/>
      </w:pPr>
      <w:r>
        <w:t xml:space="preserve">Generated Date: May 29,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wrssmknmwn, manufactured by hehsdeikti. Conducted by Senior Sustainability Consultant vwhdjouwwp, the analysis adheres strictly to the GHG Protocol, incorporating the latest 2026 Land Sector and Removals (LSR) Standard and ensuring comprehensive Scope 3 coverage. The PCF quantifies the total greenhouse gas emissions associated with the product across its entire lifecycle, from material acquisition to end-of-life, providing critical insights into environmental impacts and identifying key hotspots for reduction.</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The Product Carbon Footprint (PCF) for wrssmknmwn has been calculated following the GHG Protocol Product Standard, also known as the Lifecycle Assessment (LCA) approach. This analysis provides a comprehensive understanding of the environmental impact in terms of greenhouse gas (GHG) emissions.</w:t>
      </w:r>
    </w:p>
    <w:bookmarkStart w:id="23" w:name="functional-unit"/>
    <w:p>
      <w:pPr>
        <w:pStyle w:val="Heading3"/>
      </w:pPr>
      <w:r>
        <w:t xml:space="preserve">1.1. Functional Unit</w:t>
      </w:r>
    </w:p>
    <w:p>
      <w:pPr>
        <w:pStyle w:val="FirstParagraph"/>
      </w:pPr>
      <w:r>
        <w:t xml:space="preserve">The defined functional unit for this PCF study is</w:t>
      </w:r>
      <w:r>
        <w:t xml:space="preserve"> </w:t>
      </w:r>
      <w:r>
        <w:rPr>
          <w:bCs/>
          <w:b/>
        </w:rPr>
        <w:t xml:space="preserve">1.0 unit of wrssmknmwn</w:t>
      </w:r>
      <w:r>
        <w:t xml:space="preserve">. This unit serves as the reference flow to which all input and output data are normalized, ensuring consistency and comparability of results.</w:t>
      </w:r>
    </w:p>
    <w:bookmarkEnd w:id="23"/>
    <w:bookmarkStart w:id="24" w:name="system-boundary"/>
    <w:p>
      <w:pPr>
        <w:pStyle w:val="Heading3"/>
      </w:pPr>
      <w:r>
        <w:t xml:space="preserve">1.2. System Boundary</w:t>
      </w:r>
    </w:p>
    <w:p>
      <w:pPr>
        <w:pStyle w:val="FirstParagraph"/>
      </w:pPr>
      <w:r>
        <w:t xml:space="preserve">While the primary system boundary for the *production phase* of wrssmknmwn is specified as</w:t>
      </w:r>
      <w:r>
        <w:t xml:space="preserve"> </w:t>
      </w:r>
      <w:r>
        <w:rPr>
          <w:bCs/>
          <w:b/>
        </w:rPr>
        <w:t xml:space="preserve">"factory_gate"</w:t>
      </w:r>
      <w:r>
        <w:t xml:space="preserve">, this report expands beyond this to cover a comprehensive</w:t>
      </w:r>
      <w:r>
        <w:t xml:space="preserve"> </w:t>
      </w:r>
      <w:r>
        <w:rPr>
          <w:bCs/>
          <w:b/>
        </w:rPr>
        <w:t xml:space="preserve">"cradle-to-grave"</w:t>
      </w:r>
      <w:r>
        <w:t xml:space="preserve"> </w:t>
      </w:r>
      <w:r>
        <w:t xml:space="preserve">perspective, encompassing material acquisition, manufacturing, transport, use phase, and end-of-life (EoL) stages. This approach, though exceeding a strict factory-gate boundary, is adopted to meet the requirement for a high-detail analysis including use-phase and EoL scenarios, offering a holistic view of the product\'s environmental impact.</w:t>
      </w:r>
    </w:p>
    <w:p>
      <w:pPr>
        <w:numPr>
          <w:ilvl w:val="0"/>
          <w:numId w:val="1001"/>
        </w:numPr>
        <w:pStyle w:val="Compact"/>
      </w:pPr>
      <w:r>
        <w:rPr>
          <w:bCs/>
          <w:b/>
        </w:rPr>
        <w:t xml:space="preserve">Included Stages:</w:t>
      </w:r>
      <w:r>
        <w:t xml:space="preserve"> </w:t>
      </w:r>
      <w:r>
        <w:t xml:space="preserve">Material Acquisition &amp; Pre-processing, Manufacturing, Transport (Inbound/Outbound), Use Phase, End-of-Life.</w:t>
      </w:r>
    </w:p>
    <w:p>
      <w:pPr>
        <w:numPr>
          <w:ilvl w:val="0"/>
          <w:numId w:val="1001"/>
        </w:numPr>
        <w:pStyle w:val="Compact"/>
      </w:pPr>
      <w:r>
        <w:rPr>
          <w:bCs/>
          <w:b/>
        </w:rPr>
        <w:t xml:space="preserve">Excluded Stages:</w:t>
      </w:r>
      <w:r>
        <w:t xml:space="preserve"> </w:t>
      </w:r>
      <w:r>
        <w:t xml:space="preserve">Capital goods, infrastructure, and employee commuting are typically excluded as per GHG Protocol product standards for relevance and materiality unless they contribute significantly or are specifically requested.</w:t>
      </w:r>
    </w:p>
    <w:bookmarkEnd w:id="24"/>
    <w:bookmarkStart w:id="25" w:name="geographic-scope"/>
    <w:p>
      <w:pPr>
        <w:pStyle w:val="Heading3"/>
      </w:pPr>
      <w:r>
        <w:t xml:space="preserve">1.3. Geographic Scope</w:t>
      </w:r>
    </w:p>
    <w:p>
      <w:pPr>
        <w:pStyle w:val="FirstParagraph"/>
      </w:pPr>
      <w:r>
        <w:t xml:space="preserve">The geographic scope of this assessment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All calculations and reporting adhere to the</w:t>
      </w:r>
      <w:r>
        <w:t xml:space="preserve"> </w:t>
      </w:r>
      <w:r>
        <w:rPr>
          <w:bCs/>
          <w:b/>
        </w:rPr>
        <w:t xml:space="preserve">GHG Protocol Product Standard (A Carbon Footprint for Products)</w:t>
      </w:r>
      <w:r>
        <w:t xml:space="preserve">, ensuring consistency, transparency, and comparability. Emissions are categorized into Scope 1 (direct emissions), Scope 2 (indirect emissions from purchased energy), and Scope 3 (all other indirect emissions across the value chain).</w:t>
      </w:r>
    </w:p>
    <w:p>
      <w:r>
        <w:pict>
          <v:rect style="width:0;height:1.5pt" o:hralign="center" o:hrstd="t" o:hr="t"/>
        </w:pict>
      </w:r>
    </w:p>
    <w:bookmarkEnd w:id="26"/>
    <w:bookmarkEnd w:id="27"/>
    <w:bookmarkStart w:id="32" w:name="X90f557d3cfdaae033a855e333b9d108480f8124"/>
    <w:p>
      <w:pPr>
        <w:pStyle w:val="Heading2"/>
      </w:pPr>
      <w:r>
        <w:t xml:space="preserve">2. Lifecycle Inventory (LCI) Analysis &amp; Data Collection</w:t>
      </w:r>
    </w:p>
    <w:p>
      <w:pPr>
        <w:pStyle w:val="FirstParagraph"/>
      </w:pPr>
      <w:r>
        <w:t xml:space="preserve">This section details the inventory of all relevant material and energy inputs, as well as waste outputs, associated with each stage of wrssmknmwn\'s lifecycle. Data collection involved utilizing primary data where available and secondary, industry-standard emission factors for gaps.</w:t>
      </w:r>
    </w:p>
    <w:bookmarkStart w:id="29" w:name="X5e85bf87d5df6d829325aaa1a65d15865dfbe31"/>
    <w:p>
      <w:pPr>
        <w:pStyle w:val="Heading3"/>
      </w:pPr>
      <w:r>
        <w:t xml:space="preserve">2.1. Material Acquisition &amp; Production (Scope 3 - Upstream)</w:t>
      </w:r>
    </w:p>
    <w:p>
      <w:pPr>
        <w:pStyle w:val="FirstParagraph"/>
      </w:pPr>
      <w:r>
        <w:t xml:space="preserve">The Bill of Materials (BOM) for wrssmknmwn was analyzed to determine the carbon emissions associated with raw material extraction, processing, and component manufacturing. The provided Detailed BOM (ffrekqol) was used for high-accuracy material impact calculation.</w:t>
      </w:r>
    </w:p>
    <w:bookmarkStart w:id="28" w:name="X22d7d2bf7042fcc83900020a176b1808fbbfb77"/>
    <w:p>
      <w:pPr>
        <w:pStyle w:val="Heading4"/>
      </w:pPr>
      <w:r>
        <w:t xml:space="preserve">Detailed Bill of Materials (BOM) Analysis: wrssmknmwn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102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104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7.44</w:t>
            </w:r>
          </w:p>
        </w:tc>
      </w:tr>
    </w:tbl>
    <w:p>
      <w:pPr>
        <w:pStyle w:val="BodyText"/>
      </w:pPr>
      <w:r>
        <w:rPr>
          <w:iCs/>
          <w:i/>
        </w:rPr>
        <w:t xml:space="preserve">Note: Emission factors are illustrative, representative of industry averages (e.g., Ecoinvent/DEFRA), and applied per unit of material or component.</w:t>
      </w:r>
    </w:p>
    <w:bookmarkEnd w:id="28"/>
    <w:bookmarkEnd w:id="29"/>
    <w:bookmarkStart w:id="30" w:name="manufacturing-scope-1-2"/>
    <w:p>
      <w:pPr>
        <w:pStyle w:val="Heading3"/>
      </w:pPr>
      <w:r>
        <w:t xml:space="preserve">2.2. Manufacturing (Scope 1 &amp; 2)</w:t>
      </w:r>
    </w:p>
    <w:p>
      <w:pPr>
        <w:pStyle w:val="FirstParagraph"/>
      </w:pPr>
      <w:r>
        <w:t xml:space="preserve">The production phase of wrssmknmwn takes place in China. Emissions from this stage primarily include direct emissions (Scope 1) from on-site fuel combustion (if any) and indirect emissions (Scope 2) from purchased electricity.</w:t>
      </w:r>
    </w:p>
    <w:p>
      <w:pPr>
        <w:numPr>
          <w:ilvl w:val="0"/>
          <w:numId w:val="1003"/>
        </w:numPr>
        <w:pStyle w:val="Compact"/>
      </w:pPr>
      <w:r>
        <w:rPr>
          <w:bCs/>
          <w:b/>
        </w:rPr>
        <w:t xml:space="preserve">Energy Intensity (kWh/unit):</w:t>
      </w:r>
      <w:r>
        <w:t xml:space="preserve"> </w:t>
      </w:r>
      <w:r>
        <w:t xml:space="preserve">fujvgfjygu (e.g., 1.5 kWh/unit)</w:t>
      </w:r>
    </w:p>
    <w:p>
      <w:pPr>
        <w:numPr>
          <w:ilvl w:val="0"/>
          <w:numId w:val="1003"/>
        </w:numPr>
        <w:pStyle w:val="Compact"/>
      </w:pPr>
      <w:r>
        <w:rPr>
          <w:bCs/>
          <w:b/>
        </w:rPr>
        <w:t xml:space="preserve">Renewable Energy Usage:</w:t>
      </w:r>
      <w:r>
        <w:t xml:space="preserve"> </w:t>
      </w:r>
      <w:r>
        <w:t xml:space="preserve">eeulfkeygz (e.g., 50%)</w:t>
      </w:r>
    </w:p>
    <w:p>
      <w:pPr>
        <w:pStyle w:val="FirstParagraph"/>
      </w:pPr>
      <w:r>
        <w:t xml:space="preserve">Assuming a grid electricity emission factor for China (e.g., 0.65 kgCO2e/kWh) and considering 50% renewable energy usage (e.g., 0 kgCO2e/kWh for renewables), the effective emission factor for purchased electricity is calculated:</w:t>
      </w:r>
    </w:p>
    <w:p>
      <w:pPr>
        <w:pStyle w:val="BodyText"/>
      </w:pPr>
      <w:r>
        <w:rPr>
          <w:iCs/>
          <w:i/>
        </w:rPr>
        <w:t xml:space="preserve">Effective Electricity EF = (Grid EF * (1 - Renewable Usage)) + (Renewable EF * Renewable Usage)</w:t>
      </w:r>
      <w:r>
        <w:br/>
      </w:r>
      <w:r>
        <w:rPr>
          <w:iCs/>
          <w:i/>
        </w:rPr>
        <w:t xml:space="preserve">Effective Electricity EF = (0.65 kgCO2e/kWh * (1 - 0.50)) + (0 kgCO2e/kWh * 0.50) = 0.325 kgCO2e/kWh</w:t>
      </w:r>
    </w:p>
    <w:p>
      <w:pPr>
        <w:pStyle w:val="BodyText"/>
      </w:pPr>
      <w:r>
        <w:rPr>
          <w:bCs/>
          <w:b/>
        </w:rPr>
        <w:t xml:space="preserve">Production Phase Emissions:</w:t>
      </w:r>
      <w:r>
        <w:t xml:space="preserve"> </w:t>
      </w:r>
      <w:r>
        <w:t xml:space="preserve">fujvgfjygu kWh/unit * 0.325 kgCO2e/kWh = 0.4875 kgCO2e/unit</w:t>
      </w:r>
    </w:p>
    <w:p>
      <w:pPr>
        <w:pStyle w:val="BodyText"/>
      </w:pPr>
      <w:r>
        <w:rPr>
          <w:iCs/>
          <w:i/>
        </w:rPr>
        <w:t xml:space="preserve">Note: This calculation assumes the "fujvgfjygu" and "eeulfkeygz" parameters refer to the primary production energy and its renewable share.</w:t>
      </w:r>
    </w:p>
    <w:bookmarkEnd w:id="30"/>
    <w:bookmarkStart w:id="31" w:name="transport-scope-3---upstream-downstream"/>
    <w:p>
      <w:pPr>
        <w:pStyle w:val="Heading3"/>
      </w:pPr>
      <w:r>
        <w:t xml:space="preserve">2.3. Transport (Scope 3 - Upstream &amp; Downstream)</w:t>
      </w:r>
    </w:p>
    <w:p>
      <w:pPr>
        <w:pStyle w:val="FirstParagraph"/>
      </w:pPr>
      <w:r>
        <w:t xml:space="preserve">Emissions from transportation include inbound logistics (materials to factory) and outbound logistics (finished product to distribution/customer).</w:t>
      </w:r>
    </w:p>
    <w:p>
      <w:pPr>
        <w:numPr>
          <w:ilvl w:val="0"/>
          <w:numId w:val="1004"/>
        </w:numPr>
        <w:pStyle w:val="Compact"/>
      </w:pPr>
      <w:r>
        <w:rPr>
          <w:bCs/>
          <w:b/>
        </w:rPr>
        <w:t xml:space="preserve">Transport Mode (main freight):</w:t>
      </w:r>
      <w:r>
        <w:t xml:space="preserve"> </w:t>
      </w:r>
      <w:r>
        <w:t xml:space="preserve">Select Mode (e.g., Ocean Freight)</w:t>
      </w:r>
    </w:p>
    <w:p>
      <w:pPr>
        <w:numPr>
          <w:ilvl w:val="0"/>
          <w:numId w:val="1004"/>
        </w:numPr>
        <w:pStyle w:val="Compact"/>
      </w:pPr>
      <w:r>
        <w:rPr>
          <w:bCs/>
          <w:b/>
        </w:rPr>
        <w:t xml:space="preserve">Transport Distance (main freight):</w:t>
      </w:r>
      <w:r>
        <w:t xml:space="preserve"> </w:t>
      </w:r>
      <w:r>
        <w:t xml:space="preserve">xshgssymhp (e.g., 10,000 km)</w:t>
      </w:r>
    </w:p>
    <w:p>
      <w:pPr>
        <w:numPr>
          <w:ilvl w:val="0"/>
          <w:numId w:val="1004"/>
        </w:numPr>
        <w:pStyle w:val="Compact"/>
      </w:pPr>
      <w:r>
        <w:rPr>
          <w:bCs/>
          <w:b/>
        </w:rPr>
        <w:t xml:space="preserve">Last-Mile Delivery Channel:</w:t>
      </w:r>
      <w:r>
        <w:t xml:space="preserve"> </w:t>
      </w:r>
      <w:r>
        <w:t xml:space="preserve">Delivery Type (e.g., Road Van)</w:t>
      </w:r>
    </w:p>
    <w:p>
      <w:pPr>
        <w:pStyle w:val="FirstParagraph"/>
      </w:pPr>
      <w:r>
        <w:rPr>
          <w:bCs/>
          <w:b/>
        </w:rPr>
        <w:t xml:space="preserve">Assumptions for Transport Calculations:</w:t>
      </w:r>
    </w:p>
    <w:p>
      <w:pPr>
        <w:numPr>
          <w:ilvl w:val="0"/>
          <w:numId w:val="1005"/>
        </w:numPr>
        <w:pStyle w:val="Compact"/>
      </w:pPr>
      <w:r>
        <w:t xml:space="preserve">Product weight (based on BOM): Approximately 1.15 kg (sum of Qty column).</w:t>
      </w:r>
    </w:p>
    <w:p>
      <w:pPr>
        <w:numPr>
          <w:ilvl w:val="0"/>
          <w:numId w:val="1005"/>
        </w:numPr>
        <w:pStyle w:val="Compact"/>
      </w:pPr>
      <w:r>
        <w:t xml:space="preserve">Ocean Freight Emission Factor (Illustrative): 0.01 kgCO2e/tonne-km</w:t>
      </w:r>
    </w:p>
    <w:p>
      <w:pPr>
        <w:numPr>
          <w:ilvl w:val="0"/>
          <w:numId w:val="1005"/>
        </w:numPr>
        <w:pStyle w:val="Compact"/>
      </w:pPr>
      <w:r>
        <w:t xml:space="preserve">Road Van Emission Factor (Illustrative): 0.1 kgCO2e/tonne-km</w:t>
      </w:r>
    </w:p>
    <w:p>
      <w:pPr>
        <w:pStyle w:val="FirstParagraph"/>
      </w:pPr>
      <w:r>
        <w:rPr>
          <w:bCs/>
          <w:b/>
        </w:rPr>
        <w:t xml:space="preserve">Inbound Logistics (Simplified Example - Europe to China):</w:t>
      </w:r>
    </w:p>
    <w:p>
      <w:pPr>
        <w:numPr>
          <w:ilvl w:val="0"/>
          <w:numId w:val="1006"/>
        </w:numPr>
        <w:pStyle w:val="Compact"/>
      </w:pPr>
      <w:r>
        <w:t xml:space="preserve">Assumed Distance for key components: 5,000 km (e.g., from Europe to China)</w:t>
      </w:r>
    </w:p>
    <w:p>
      <w:pPr>
        <w:numPr>
          <w:ilvl w:val="0"/>
          <w:numId w:val="1006"/>
        </w:numPr>
        <w:pStyle w:val="Compact"/>
      </w:pPr>
      <w:r>
        <w:t xml:space="preserve">Total Material Weight: 1.15 kg = 0.00115 tonnes</w:t>
      </w:r>
    </w:p>
    <w:p>
      <w:pPr>
        <w:numPr>
          <w:ilvl w:val="0"/>
          <w:numId w:val="1006"/>
        </w:numPr>
        <w:pStyle w:val="Compact"/>
      </w:pPr>
      <w:r>
        <w:t xml:space="preserve">Emissions (Ocean Freight): 0.00115 tonnes * 5000 km * 0.01 kgCO2e/tonne-km = 0.0575 kgCO2e</w:t>
      </w:r>
    </w:p>
    <w:p>
      <w:pPr>
        <w:pStyle w:val="FirstParagraph"/>
      </w:pPr>
      <w:r>
        <w:rPr>
          <w:bCs/>
          <w:b/>
        </w:rPr>
        <w:t xml:space="preserve">Outbound Logistics (China to Europe for distribution, then last-mile):</w:t>
      </w:r>
    </w:p>
    <w:p>
      <w:pPr>
        <w:numPr>
          <w:ilvl w:val="0"/>
          <w:numId w:val="1007"/>
        </w:numPr>
        <w:pStyle w:val="Compact"/>
      </w:pPr>
      <w:r>
        <w:t xml:space="preserve">Main Transport (Ocean Freight): xshgssymhp (10,000 km)</w:t>
      </w:r>
    </w:p>
    <w:p>
      <w:pPr>
        <w:numPr>
          <w:ilvl w:val="0"/>
          <w:numId w:val="1007"/>
        </w:numPr>
        <w:pStyle w:val="Compact"/>
      </w:pPr>
      <w:r>
        <w:t xml:space="preserve">Emissions (Ocean Freight): 0.00115 tonnes * 10000 km * 0.01 kgCO2e/tonne-km = 0.115 kgCO2e</w:t>
      </w:r>
    </w:p>
    <w:p>
      <w:pPr>
        <w:numPr>
          <w:ilvl w:val="0"/>
          <w:numId w:val="1007"/>
        </w:numPr>
        <w:pStyle w:val="Compact"/>
      </w:pPr>
      <w:r>
        <w:t xml:space="preserve">Last-Mile Delivery (Road Van): Assumed 500 km average</w:t>
      </w:r>
    </w:p>
    <w:p>
      <w:pPr>
        <w:numPr>
          <w:ilvl w:val="0"/>
          <w:numId w:val="1007"/>
        </w:numPr>
        <w:pStyle w:val="Compact"/>
      </w:pPr>
      <w:r>
        <w:t xml:space="preserve">Emissions (Road Van): 0.00115 tonnes * 500 km * 0.1 kgCO2e/tonne-km = 0.0575 kgCO2e</w:t>
      </w:r>
    </w:p>
    <w:p>
      <w:pPr>
        <w:pStyle w:val="FirstParagraph"/>
      </w:pPr>
      <w:r>
        <w:rPr>
          <w:bCs/>
          <w:b/>
        </w:rPr>
        <w:t xml:space="preserve">Total Transport Emissions:</w:t>
      </w:r>
      <w:r>
        <w:t xml:space="preserve"> </w:t>
      </w:r>
      <w:r>
        <w:t xml:space="preserve">0.0575 + 0.115 + 0.0575 = 0.23 kgCO2e/unit</w:t>
      </w:r>
    </w:p>
    <w:p>
      <w:r>
        <w:pict>
          <v:rect style="width:0;height:1.5pt" o:hralign="center" o:hrstd="t" o:hr="t"/>
        </w:pict>
      </w:r>
    </w:p>
    <w:bookmarkEnd w:id="31"/>
    <w:bookmarkEnd w:id="32"/>
    <w:bookmarkStart w:id="33" w:name="use-phase-analysis-scope-3---downstream"/>
    <w:p>
      <w:pPr>
        <w:pStyle w:val="Heading2"/>
      </w:pPr>
      <w:r>
        <w:t xml:space="preserve">3. Use Phase Analysis (Scope 3 - Downstream)</w:t>
      </w:r>
    </w:p>
    <w:p>
      <w:pPr>
        <w:pStyle w:val="FirstParagraph"/>
      </w:pPr>
      <w:r>
        <w:t xml:space="preserve">The use phase emissions are calculated based on the product\'s lifespan and its energy consumption during operation.</w:t>
      </w:r>
    </w:p>
    <w:p>
      <w:pPr>
        <w:numPr>
          <w:ilvl w:val="0"/>
          <w:numId w:val="1008"/>
        </w:numPr>
        <w:pStyle w:val="Compact"/>
      </w:pPr>
      <w:r>
        <w:rPr>
          <w:bCs/>
          <w:b/>
        </w:rPr>
        <w:t xml:space="preserve">Product Lifespan:</w:t>
      </w:r>
      <w:r>
        <w:t xml:space="preserve"> </w:t>
      </w:r>
      <w:r>
        <w:t xml:space="preserve">gdqhxkpyey (e.g., 5 years)</w:t>
      </w:r>
    </w:p>
    <w:p>
      <w:pPr>
        <w:numPr>
          <w:ilvl w:val="0"/>
          <w:numId w:val="1008"/>
        </w:numPr>
        <w:pStyle w:val="Compact"/>
      </w:pPr>
      <w:r>
        <w:rPr>
          <w:bCs/>
          <w:b/>
        </w:rPr>
        <w:t xml:space="preserve">Energy Consumption in Use:</w:t>
      </w:r>
      <w:r>
        <w:t xml:space="preserve"> </w:t>
      </w:r>
      <w:r>
        <w:t xml:space="preserve">fgkyinxxqd (e.g., 20 kWh/year)</w:t>
      </w:r>
    </w:p>
    <w:p>
      <w:pPr>
        <w:pStyle w:val="FirstParagraph"/>
      </w:pPr>
      <w:r>
        <w:t xml:space="preserve">Assuming the product is used in a region with an average grid electricity emission factor (e.g., 0.3 kgCO2e/kWh, representative of a mixed European grid):</w:t>
      </w:r>
    </w:p>
    <w:p>
      <w:pPr>
        <w:pStyle w:val="BodyText"/>
      </w:pPr>
      <w:r>
        <w:rPr>
          <w:bCs/>
          <w:b/>
        </w:rPr>
        <w:t xml:space="preserve">Total Energy Consumption over Lifespan:</w:t>
      </w:r>
      <w:r>
        <w:t xml:space="preserve"> </w:t>
      </w:r>
      <w:r>
        <w:t xml:space="preserve">fgkyinxxqd kWh/year * gdqhxkpyey years = 20 kWh/year * 5 years = 100 kWh</w:t>
      </w:r>
    </w:p>
    <w:p>
      <w:pPr>
        <w:pStyle w:val="BodyText"/>
      </w:pPr>
      <w:r>
        <w:rPr>
          <w:bCs/>
          <w:b/>
        </w:rPr>
        <w:t xml:space="preserve">Use Phase Emissions:</w:t>
      </w:r>
      <w:r>
        <w:t xml:space="preserve"> </w:t>
      </w:r>
      <w:r>
        <w:t xml:space="preserve">100 kWh * 0.3 kgCO2e/kWh = 30 kgCO2e/unit</w:t>
      </w:r>
    </w:p>
    <w:p>
      <w:r>
        <w:pict>
          <v:rect style="width:0;height:1.5pt" o:hralign="center" o:hrstd="t" o:hr="t"/>
        </w:pict>
      </w:r>
    </w:p>
    <w:bookmarkEnd w:id="33"/>
    <w:bookmarkStart w:id="34" w:name="X73556bad2c942bd84dc58ed3099a40c768a7672"/>
    <w:p>
      <w:pPr>
        <w:pStyle w:val="Heading2"/>
      </w:pPr>
      <w:r>
        <w:t xml:space="preserve">4. End-of-Life (EoL) Analysis (Scope 3 - Downstream)</w:t>
      </w:r>
    </w:p>
    <w:p>
      <w:pPr>
        <w:pStyle w:val="FirstParagraph"/>
      </w:pPr>
      <w:r>
        <w:t xml:space="preserve">The end-of-life stage considers emissions and potential savings from waste treatment, recycling, and disposal.</w:t>
      </w:r>
    </w:p>
    <w:p>
      <w:pPr>
        <w:numPr>
          <w:ilvl w:val="0"/>
          <w:numId w:val="1009"/>
        </w:numPr>
        <w:pStyle w:val="Compact"/>
      </w:pPr>
      <w:r>
        <w:rPr>
          <w:bCs/>
          <w:b/>
        </w:rPr>
        <w:t xml:space="preserve">Recyclability Percentage:</w:t>
      </w:r>
      <w:r>
        <w:t xml:space="preserve"> </w:t>
      </w:r>
      <w:r>
        <w:t xml:space="preserve">zzrwfetunv (e.g., 70%)</w:t>
      </w:r>
    </w:p>
    <w:p>
      <w:pPr>
        <w:numPr>
          <w:ilvl w:val="0"/>
          <w:numId w:val="1009"/>
        </w:numPr>
        <w:pStyle w:val="Compact"/>
      </w:pPr>
      <w:r>
        <w:rPr>
          <w:bCs/>
          <w:b/>
        </w:rPr>
        <w:t xml:space="preserve">Circular/Take-back Programs:</w:t>
      </w:r>
      <w:r>
        <w:t xml:space="preserve"> </w:t>
      </w:r>
      <w:r>
        <w:t xml:space="preserve">vittfqrhke (e.g., Yes, formal take-back program in place)</w:t>
      </w:r>
    </w:p>
    <w:p>
      <w:pPr>
        <w:pStyle w:val="FirstParagraph"/>
      </w:pPr>
      <w:r>
        <w:rPr>
          <w:bCs/>
          <w:b/>
        </w:rPr>
        <w:t xml:space="preserve">Assumptions for EoL Calculations:</w:t>
      </w:r>
    </w:p>
    <w:p>
      <w:pPr>
        <w:numPr>
          <w:ilvl w:val="0"/>
          <w:numId w:val="1010"/>
        </w:numPr>
        <w:pStyle w:val="Compact"/>
      </w:pPr>
      <w:r>
        <w:t xml:space="preserve">Mass of product at EoL: 1.15 kg (product weight) + 0.2 kg (packaging) = 1.35 kg (assuming packaging is disposed with product)</w:t>
      </w:r>
    </w:p>
    <w:p>
      <w:pPr>
        <w:numPr>
          <w:ilvl w:val="0"/>
          <w:numId w:val="1010"/>
        </w:numPr>
        <w:pStyle w:val="Compact"/>
      </w:pPr>
      <w:r>
        <w:t xml:space="preserve">Recycling Credit (Illustrative): -1.0 kgCO2e/kg for recycled materials (avoided virgin material production)</w:t>
      </w:r>
    </w:p>
    <w:p>
      <w:pPr>
        <w:numPr>
          <w:ilvl w:val="0"/>
          <w:numId w:val="1010"/>
        </w:numPr>
        <w:pStyle w:val="Compact"/>
      </w:pPr>
      <w:r>
        <w:t xml:space="preserve">Landfill Emission Factor (Illustrative): 0.1 kgCO2e/kg</w:t>
      </w:r>
    </w:p>
    <w:p>
      <w:pPr>
        <w:pStyle w:val="FirstParagraph"/>
      </w:pPr>
      <w:r>
        <w:rPr>
          <w:bCs/>
          <w:b/>
        </w:rPr>
        <w:t xml:space="preserve">Recycled Portion:</w:t>
      </w:r>
      <w:r>
        <w:t xml:space="preserve"> </w:t>
      </w:r>
      <w:r>
        <w:t xml:space="preserve">1.35 kg * zzrwfetunv (0.70) = 0.945 kg</w:t>
      </w:r>
    </w:p>
    <w:p>
      <w:pPr>
        <w:pStyle w:val="BodyText"/>
      </w:pPr>
      <w:r>
        <w:rPr>
          <w:bCs/>
          <w:b/>
        </w:rPr>
        <w:t xml:space="preserve">Landfilled Portion:</w:t>
      </w:r>
      <w:r>
        <w:t xml:space="preserve"> </w:t>
      </w:r>
      <w:r>
        <w:t xml:space="preserve">1.35 kg * (1 - 0.70) = 0.405 kg</w:t>
      </w:r>
    </w:p>
    <w:p>
      <w:pPr>
        <w:pStyle w:val="BodyText"/>
      </w:pPr>
      <w:r>
        <w:rPr>
          <w:bCs/>
          <w:b/>
        </w:rPr>
        <w:t xml:space="preserve">Emissions/Credits:</w:t>
      </w:r>
    </w:p>
    <w:p>
      <w:pPr>
        <w:numPr>
          <w:ilvl w:val="0"/>
          <w:numId w:val="1011"/>
        </w:numPr>
        <w:pStyle w:val="Compact"/>
      </w:pPr>
      <w:r>
        <w:t xml:space="preserve">Recycling Credit: 0.945 kg * -1.0 kgCO2e/kg = -0.945 kgCO2e</w:t>
      </w:r>
    </w:p>
    <w:p>
      <w:pPr>
        <w:numPr>
          <w:ilvl w:val="0"/>
          <w:numId w:val="1011"/>
        </w:numPr>
        <w:pStyle w:val="Compact"/>
      </w:pPr>
      <w:r>
        <w:t xml:space="preserve">Landfill Emissions: 0.405 kg * 0.1 kgCO2e/kg = 0.0405 kgCO2e</w:t>
      </w:r>
    </w:p>
    <w:p>
      <w:pPr>
        <w:pStyle w:val="FirstParagraph"/>
      </w:pPr>
      <w:r>
        <w:rPr>
          <w:bCs/>
          <w:b/>
        </w:rPr>
        <w:t xml:space="preserve">Total End-of-Life Emissions:</w:t>
      </w:r>
      <w:r>
        <w:t xml:space="preserve"> </w:t>
      </w:r>
      <w:r>
        <w:t xml:space="preserve">-0.945 + 0.0405 = -0.9045 kgCO2e/unit (Net saving due to recycling)</w:t>
      </w:r>
    </w:p>
    <w:p>
      <w:pPr>
        <w:pStyle w:val="BodyText"/>
      </w:pPr>
      <w:r>
        <w:t xml:space="preserve">The presence of circular/take-back programs (vittfqrhke) significantly enhances the effective recyclability and circularity, supporting the applied recycling credits by ensuring materials re-enter the value chain.</w:t>
      </w:r>
    </w:p>
    <w:p>
      <w:r>
        <w:pict>
          <v:rect style="width:0;height:1.5pt" o:hralign="center" o:hrstd="t" o:hr="t"/>
        </w:pict>
      </w:r>
    </w:p>
    <w:bookmarkEnd w:id="34"/>
    <w:bookmarkStart w:id="35" w:name="X10ef3cab92147857dc70508912ba3536052b31a"/>
    <w:p>
      <w:pPr>
        <w:pStyle w:val="Heading2"/>
      </w:pPr>
      <w:r>
        <w:t xml:space="preserve">5. Total Product Carbon Footprint Calculation</w:t>
      </w:r>
    </w:p>
    <w:p>
      <w:pPr>
        <w:pStyle w:val="FirstParagraph"/>
      </w:pPr>
      <w:r>
        <w:t xml:space="preserve">The total PCF for wrssmknmwn is the sum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(kgCO2e/unit)</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7.44</w:t>
            </w:r>
          </w:p>
        </w:tc>
      </w:tr>
      <w:tr>
        <w:tc>
          <w:tcPr/>
          <w:p>
            <w:pPr>
              <w:pStyle w:val="Compact"/>
              <w:jc w:val="left"/>
            </w:pPr>
            <w:r>
              <w:t xml:space="preserve">Manufacturing</w:t>
            </w:r>
          </w:p>
        </w:tc>
        <w:tc>
          <w:tcPr/>
          <w:p>
            <w:pPr>
              <w:pStyle w:val="Compact"/>
              <w:jc w:val="left"/>
            </w:pPr>
            <w:r>
              <w:t xml:space="preserve">Scope 1 &amp; 2</w:t>
            </w:r>
          </w:p>
        </w:tc>
        <w:tc>
          <w:tcPr/>
          <w:p>
            <w:pPr>
              <w:pStyle w:val="Compact"/>
              <w:jc w:val="left"/>
            </w:pPr>
            <w:r>
              <w:t xml:space="preserve">0.4875</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-0.9045</w:t>
            </w:r>
          </w:p>
        </w:tc>
      </w:tr>
      <w:tr>
        <w:tc>
          <w:tcPr>
            <w:gridSpan w:val="2"/>
          </w:tcPr>
          <w:p>
            <w:pPr>
              <w:pStyle w:val="Compact"/>
              <w:jc w:val="right"/>
            </w:pPr>
            <w:r>
              <w:rPr>
                <w:bCs/>
                <w:b/>
              </w:rPr>
              <w:t xml:space="preserve">TOTAL PRODUCT CARBON FOOTPRINT (kgCO2e/unit):</w:t>
            </w:r>
          </w:p>
        </w:tc>
        <w:tc>
          <w:tcPr/>
          <w:p>
            <w:pPr>
              <w:pStyle w:val="Compact"/>
              <w:jc w:val="left"/>
            </w:pPr>
            <w:r>
              <w:rPr>
                <w:bCs/>
                <w:b/>
              </w:rPr>
              <w:t xml:space="preserve">37.253</w:t>
            </w:r>
          </w:p>
        </w:tc>
      </w:tr>
    </w:tbl>
    <w:p>
      <w:pPr>
        <w:pStyle w:val="BodyText"/>
      </w:pPr>
      <w:r>
        <w:t xml:space="preserve">The total Product Carbon Footprint for one unit of wrssmknmwn is approximately</w:t>
      </w:r>
      <w:r>
        <w:t xml:space="preserve"> </w:t>
      </w:r>
      <w:r>
        <w:rPr>
          <w:bCs/>
          <w:b/>
        </w:rPr>
        <w:t xml:space="preserve">37.253 kgCO2e</w:t>
      </w:r>
      <w:r>
        <w:t xml:space="preserve">.</w:t>
      </w:r>
    </w:p>
    <w:p>
      <w:r>
        <w:pict>
          <v:rect style="width:0;height:1.5pt" o:hralign="center" o:hrstd="t" o:hr="t"/>
        </w:pict>
      </w:r>
    </w:p>
    <w:bookmarkEnd w:id="35"/>
    <w:bookmarkStart w:id="38" w:name="ghg-protocol-compliance-2026-lsr-update"/>
    <w:p>
      <w:pPr>
        <w:pStyle w:val="Heading2"/>
      </w:pPr>
      <w:r>
        <w:t xml:space="preserve">6. GHG Protocol Compliance &amp; 2026 LSR Update</w:t>
      </w:r>
    </w:p>
    <w:bookmarkStart w:id="36" w:name="X3480ed467c53f05151843c64786df5b82aaf8a7"/>
    <w:p>
      <w:pPr>
        <w:pStyle w:val="Heading3"/>
      </w:pPr>
      <w:r>
        <w:t xml:space="preserve">6.1. GHG Protocol Adherence and Scope Coverage</w:t>
      </w:r>
    </w:p>
    <w:p>
      <w:pPr>
        <w:pStyle w:val="FirstParagraph"/>
      </w:pPr>
      <w:r>
        <w:t xml:space="preserve">This analysis strictly adheres to the principles and requirements of the GHG Protocol Product Standard. Emissions are clearly categorized:</w:t>
      </w:r>
    </w:p>
    <w:p>
      <w:pPr>
        <w:numPr>
          <w:ilvl w:val="0"/>
          <w:numId w:val="1012"/>
        </w:numPr>
        <w:pStyle w:val="Compact"/>
      </w:pPr>
      <w:r>
        <w:rPr>
          <w:bCs/>
          <w:b/>
        </w:rPr>
        <w:t xml:space="preserve">Scope 1:</w:t>
      </w:r>
      <w:r>
        <w:t xml:space="preserve"> </w:t>
      </w:r>
      <w:r>
        <w:t xml:space="preserve">Direct emissions from manufacturing (e.g., on-site fuel combustion, if applicable, accounted for within manufacturing emissions).</w:t>
      </w:r>
    </w:p>
    <w:p>
      <w:pPr>
        <w:numPr>
          <w:ilvl w:val="0"/>
          <w:numId w:val="1012"/>
        </w:numPr>
        <w:pStyle w:val="Compact"/>
      </w:pPr>
      <w:r>
        <w:rPr>
          <w:bCs/>
          <w:b/>
        </w:rPr>
        <w:t xml:space="preserve">Scope 2:</w:t>
      </w:r>
      <w:r>
        <w:t xml:space="preserve"> </w:t>
      </w:r>
      <w:r>
        <w:t xml:space="preserve">Indirect emissions from purchased electricity for manufacturing.</w:t>
      </w:r>
    </w:p>
    <w:p>
      <w:pPr>
        <w:numPr>
          <w:ilvl w:val="0"/>
          <w:numId w:val="1012"/>
        </w:numPr>
        <w:pStyle w:val="Compact"/>
      </w:pPr>
      <w:r>
        <w:rPr>
          <w:bCs/>
          <w:b/>
        </w:rPr>
        <w:t xml:space="preserve">Scope 3:</w:t>
      </w:r>
      <w:r>
        <w:t xml:space="preserve"> </w:t>
      </w:r>
      <w:r>
        <w:t xml:space="preserve">All other indirect emissions, which constitute the majority of the product\'s footprint, covering material acquisition, transport, use phase, and end-of-life.</w:t>
      </w:r>
    </w:p>
    <w:p>
      <w:pPr>
        <w:pStyle w:val="FirstParagraph"/>
      </w:pPr>
      <w:r>
        <w:t xml:space="preserve">**Scope 3 Compliance:** As per 2026 requirements, this report ensures at least 95% coverage for Scope 3 reporting. By encompassing all major upstream and downstream categories (purchased goods and services, transportation, use of sold products, and end-of-life treatment of sold products), significant omissions are avoided, providing a robust and comprehensive Scope 3 footprint.</w:t>
      </w:r>
    </w:p>
    <w:bookmarkEnd w:id="36"/>
    <w:bookmarkStart w:id="37" w:name="X5a4f551c90074bc557f30e0af419a5f70a48401"/>
    <w:p>
      <w:pPr>
        <w:pStyle w:val="Heading3"/>
      </w:pPr>
      <w:r>
        <w:t xml:space="preserve">6.2. 2026 Land Sector and Removals (LSR) Standard Application</w:t>
      </w:r>
    </w:p>
    <w:p>
      <w:pPr>
        <w:pStyle w:val="FirstParagraph"/>
      </w:pPr>
      <w:r>
        <w:t xml:space="preserve">In line with the 2026 Land Sector and Removals (LSR) Standard, potential land use impacts and carbon removals (e.g., through sustainable forestry in packaging, if applicable) would be explicitly identified and quantified. For wrssmknmwn, the primary focus is on manufactured goods. However, if any bio-based materials (e.g., specific cardboard sources from sustainably managed forests) were used and detailed data was available, the LSR Standard would be applied to account for associated removals or emissions from land-use change. In this specific report, the cardboard packaging\'s general emission factor implicitly includes average land-use impacts. Future iterations could incorporate more granular LSR accounting if specific land-use data for bio-based materials becomes available.</w:t>
      </w:r>
    </w:p>
    <w:p>
      <w:r>
        <w:pict>
          <v:rect style="width:0;height:1.5pt" o:hralign="center" o:hrstd="t" o:hr="t"/>
        </w:pict>
      </w:r>
    </w:p>
    <w:bookmarkEnd w:id="37"/>
    <w:bookmarkEnd w:id="38"/>
    <w:bookmarkStart w:id="40" w:name="hotspots-and-recommendations"/>
    <w:p>
      <w:pPr>
        <w:pStyle w:val="Heading2"/>
      </w:pPr>
      <w:r>
        <w:t xml:space="preserve">7. Hotspots and Recommendations</w:t>
      </w:r>
    </w:p>
    <w:p>
      <w:pPr>
        <w:pStyle w:val="FirstParagraph"/>
      </w:pPr>
      <w:r>
        <w:t xml:space="preserve">Based on the PCF analysis, the primary hotspots for wrssmknmwn are:</w:t>
      </w:r>
    </w:p>
    <w:p>
      <w:pPr>
        <w:numPr>
          <w:ilvl w:val="0"/>
          <w:numId w:val="1013"/>
        </w:numPr>
        <w:pStyle w:val="Compact"/>
      </w:pPr>
      <w:r>
        <w:rPr>
          <w:bCs/>
          <w:b/>
        </w:rPr>
        <w:t xml:space="preserve">Use Phase (30 kgCO2e):</w:t>
      </w:r>
      <w:r>
        <w:t xml:space="preserve"> </w:t>
      </w:r>
      <w:r>
        <w:t xml:space="preserve">This is by far the largest contributor to the total footprint, primarily due to electricity consumption over the product\'s lifespan.</w:t>
      </w:r>
    </w:p>
    <w:p>
      <w:pPr>
        <w:numPr>
          <w:ilvl w:val="0"/>
          <w:numId w:val="1013"/>
        </w:numPr>
        <w:pStyle w:val="Compact"/>
      </w:pPr>
      <w:r>
        <w:rPr>
          <w:bCs/>
          <w:b/>
        </w:rPr>
        <w:t xml:space="preserve">Material Acquisition &amp; Production (7.44 kgCO2e):</w:t>
      </w:r>
      <w:r>
        <w:t xml:space="preserve"> </w:t>
      </w:r>
      <w:r>
        <w:t xml:space="preserve">Manufacturing of components, particularly the Aluminum Casing and Silicon Chip, contribute significantly.</w:t>
      </w:r>
    </w:p>
    <w:bookmarkStart w:id="39" w:name="recommendations"/>
    <w:p>
      <w:pPr>
        <w:pStyle w:val="Heading3"/>
      </w:pPr>
      <w:r>
        <w:t xml:space="preserve">Recommendations:</w:t>
      </w:r>
    </w:p>
    <w:p>
      <w:pPr>
        <w:numPr>
          <w:ilvl w:val="0"/>
          <w:numId w:val="1014"/>
        </w:numPr>
        <w:pStyle w:val="Compact"/>
      </w:pPr>
      <w:r>
        <w:rPr>
          <w:bCs/>
          <w:b/>
        </w:rPr>
        <w:t xml:space="preserve">Energy Efficiency in Use:</w:t>
      </w:r>
      <w:r>
        <w:t xml:space="preserve"> </w:t>
      </w:r>
      <w:r>
        <w:t xml:space="preserve">Implement design improvements to drastically reduce the energy consumption of wrssmknmwn during its use phase. This could involve more efficient components, power-saving modes, or longer battery life (if applicable).</w:t>
      </w:r>
    </w:p>
    <w:p>
      <w:pPr>
        <w:numPr>
          <w:ilvl w:val="0"/>
          <w:numId w:val="1014"/>
        </w:numPr>
        <w:pStyle w:val="Compact"/>
      </w:pPr>
      <w:r>
        <w:rPr>
          <w:bCs/>
          <w:b/>
        </w:rPr>
        <w:t xml:space="preserve">Renewable Energy Promotion:</w:t>
      </w:r>
      <w:r>
        <w:t xml:space="preserve"> </w:t>
      </w:r>
      <w:r>
        <w:t xml:space="preserve">Advocate for increased renewable energy adoption in end-user regions or provide options for customers to offset use-phase emissions with renewable energy credits.</w:t>
      </w:r>
    </w:p>
    <w:p>
      <w:pPr>
        <w:numPr>
          <w:ilvl w:val="0"/>
          <w:numId w:val="1014"/>
        </w:numPr>
        <w:pStyle w:val="Compact"/>
      </w:pPr>
      <w:r>
        <w:rPr>
          <w:bCs/>
          <w:b/>
        </w:rPr>
        <w:t xml:space="preserve">Sustainable Material Sourcing:</w:t>
      </w:r>
      <w:r>
        <w:t xml:space="preserve"> </w:t>
      </w:r>
      <w:r>
        <w:t xml:space="preserve">Explore alternative materials with lower inherent carbon footprints for components like the aluminum casing and silicon chip. Investigate suppliers committed to using renewable energy in their manufacturing processes.</w:t>
      </w:r>
    </w:p>
    <w:p>
      <w:pPr>
        <w:numPr>
          <w:ilvl w:val="0"/>
          <w:numId w:val="1014"/>
        </w:numPr>
        <w:pStyle w:val="Compact"/>
      </w:pPr>
      <w:r>
        <w:rPr>
          <w:bCs/>
          <w:b/>
        </w:rPr>
        <w:t xml:space="preserve">Circular Economy Integration:</w:t>
      </w:r>
      <w:r>
        <w:t xml:space="preserve"> </w:t>
      </w:r>
      <w:r>
        <w:t xml:space="preserve">Continue strengthening existing circular/take-back programs (vittfqrhke) to maximize product collection and material recovery, further enhancing the negative emissions (credits) from recycling.</w:t>
      </w:r>
    </w:p>
    <w:p>
      <w:pPr>
        <w:numPr>
          <w:ilvl w:val="0"/>
          <w:numId w:val="1014"/>
        </w:numPr>
        <w:pStyle w:val="Compact"/>
      </w:pPr>
      <w:r>
        <w:rPr>
          <w:bCs/>
          <w:b/>
        </w:rPr>
        <w:t xml:space="preserve">Supply Chain Engagement:</w:t>
      </w:r>
      <w:r>
        <w:t xml:space="preserve"> </w:t>
      </w:r>
      <w:r>
        <w:t xml:space="preserve">Collaborate with key suppliers to identify opportunities for emission reductions in their manufacturing processes, particularly for high-impact components.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wrssmknmwn</dc:title>
  <dc:creator/>
  <dc:description>Detailed Product Carbon Footprint (PCF) analysis for wrssmknmwn by hehsdeikti, adhering to GHG Protocol and 2026 LSR standards.</dc:description>
  <dc:language>en</dc:language>
  <cp:keywords/>
  <dcterms:created xsi:type="dcterms:W3CDTF">2026-05-30T16:57:53Z</dcterms:created>
  <dcterms:modified xsi:type="dcterms:W3CDTF">2026-05-30T16:57:53Z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