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wlupjujrmn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wlupjujrmn"/>
    <w:p>
      <w:pPr>
        <w:pStyle w:val="Heading2"/>
      </w:pPr>
      <w:r>
        <w:t xml:space="preserve">Product: wlupjujrmn</w:t>
      </w:r>
    </w:p>
    <w:p>
      <w:pPr>
        <w:pStyle w:val="FirstParagraph"/>
      </w:pPr>
      <w:r>
        <w:t xml:space="preserve">Company Name: gudlefigeu</w:t>
      </w:r>
    </w:p>
    <w:p>
      <w:pPr>
        <w:pStyle w:val="BodyText"/>
      </w:pPr>
      <w:r>
        <w:t xml:space="preserve">Senior Sustainability Consultant: xmqqtmdnkv</w:t>
      </w:r>
    </w:p>
    <w:p>
      <w:pPr>
        <w:pStyle w:val="BodyText"/>
      </w:pPr>
      <w:r>
        <w:t xml:space="preserve">Protocol Data (Accounting Standard): GHG Protocol</w:t>
      </w:r>
    </w:p>
    <w:p>
      <w:pPr>
        <w:pStyle w:val="BodyText"/>
      </w:pPr>
      <w:r>
        <w:t xml:space="preserve">Disclaimer: This report is generated based on available data and industry standards, utilizing provided parameters and publicly accessible emission factors. Actual impacts may vary depending on specific operational details not explicitly supplied.</w:t>
      </w:r>
    </w:p>
    <w:bookmarkEnd w:id="20"/>
    <w:bookmarkEnd w:id="21"/>
    <w:bookmarkStart w:id="25" w:name="Xa87d010c1fd868336511b306fbd202996615f12"/>
    <w:p>
      <w:pPr>
        <w:pStyle w:val="Heading1"/>
      </w:pPr>
      <w:r>
        <w:t xml:space="preserve">Product Carbon Footprint Analysis Report</w:t>
      </w:r>
    </w:p>
    <w:bookmarkStart w:id="24" w:name="for-product-wlupjujrmn"/>
    <w:p>
      <w:pPr>
        <w:pStyle w:val="Heading2"/>
      </w:pPr>
      <w:r>
        <w:t xml:space="preserve">For Product: wlupjujrmn</w:t>
      </w:r>
    </w:p>
    <w:bookmarkStart w:id="23" w:name="company-gudlefigeu"/>
    <w:p>
      <w:pPr>
        <w:pStyle w:val="Heading3"/>
      </w:pPr>
      <w:r>
        <w:t xml:space="preserve">Company: gudlefigeu</w:t>
      </w:r>
    </w:p>
    <w:bookmarkStart w:id="22" w:name="X849bfb90f01a4c565dcde20edae3a23c211cb4e"/>
    <w:p>
      <w:pPr>
        <w:pStyle w:val="Heading4"/>
      </w:pPr>
      <w:r>
        <w:t xml:space="preserve">Senior Sustainability Consultant: xmqqtmdnkv</w:t>
      </w:r>
    </w:p>
    <w:p>
      <w:pPr>
        <w:pStyle w:val="FirstParagraph"/>
      </w:pPr>
      <w:r>
        <w:t xml:space="preserve">Date: May 28, 2026</w:t>
      </w:r>
    </w:p>
    <w:p>
      <w:r>
        <w:pict>
          <v:rect style="width:0;height:1.5pt" o:hralign="center" o:hrstd="t" o:hr="t"/>
        </w:pict>
      </w:r>
    </w:p>
    <w:bookmarkEnd w:id="22"/>
    <w:bookmarkEnd w:id="23"/>
    <w:bookmarkEnd w:id="24"/>
    <w:bookmarkEnd w:id="25"/>
    <w:bookmarkStart w:id="26"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wlupjujrmn</w:t>
      </w:r>
      <w:r>
        <w:t xml:space="preserve"> </w:t>
      </w:r>
      <w:r>
        <w:t xml:space="preserve">manufactured by</w:t>
      </w:r>
      <w:r>
        <w:t xml:space="preserve"> </w:t>
      </w:r>
      <w:r>
        <w:rPr>
          <w:bCs/>
          <w:b/>
        </w:rPr>
        <w:t xml:space="preserve">gudlefigeu</w:t>
      </w:r>
      <w:r>
        <w:t xml:space="preserve">, conducted by</w:t>
      </w:r>
      <w:r>
        <w:t xml:space="preserve"> </w:t>
      </w:r>
      <w:r>
        <w:rPr>
          <w:bCs/>
          <w:b/>
        </w:rPr>
        <w:t xml:space="preserve">xmqqtmdnkv</w:t>
      </w:r>
      <w:r>
        <w:t xml:space="preserve">, a Senior Sustainability Consultant specializing in GHG Protocol. The analysis adheres to the GHG Protocol\'s methodologies, including the 2026 Land Sector and Removals (LSR) Standard update and a stringent 95% coverage for Scope 3 emissions. The assessment covers the lifecycle from raw material acquisition to end-of-life, with a system boundary defined at the factory gate for primary production emissions and extending to cover downstream impacts for use and end-of-life.</w:t>
      </w:r>
    </w:p>
    <w:p>
      <w:pPr>
        <w:pStyle w:val="BodyText"/>
      </w:pPr>
      <w:r>
        <w:t xml:space="preserve">The PCF quantifies the total Greenhouse Gas (GHG) emissions expressed in kilograms of Carbon Dioxide equivalent (kg CO2e) per functional unit of the product. Key insights into emission hotspots across material acquisition, manufacturing, transportation, use phase, and end-of-life are provided, along with recommendations for potential reduction strategies.</w:t>
      </w:r>
    </w:p>
    <w:bookmarkEnd w:id="26"/>
    <w:p>
      <w:r>
        <w:pict>
          <v:rect style="width:0;height:1.5pt" o:hralign="center" o:hrstd="t" o:hr="t"/>
        </w:pict>
      </w:r>
    </w:p>
    <w:bookmarkStart w:id="32" w:name="define-scope"/>
    <w:p>
      <w:pPr>
        <w:pStyle w:val="Heading2"/>
      </w:pPr>
      <w:r>
        <w:t xml:space="preserve">1. Define Scope</w:t>
      </w:r>
    </w:p>
    <w:bookmarkStart w:id="27"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product</w:t>
      </w:r>
      <w:r>
        <w:t xml:space="preserve"> </w:t>
      </w:r>
      <w:r>
        <w:rPr>
          <w:bCs/>
          <w:b/>
        </w:rPr>
        <w:t xml:space="preserve">wlupjujrmn</w:t>
      </w:r>
      <w:r>
        <w:t xml:space="preserve">. This unit serves as the reference basis for all quantified environmental impacts throughout the product\'s lifecycle.</w:t>
      </w:r>
    </w:p>
    <w:bookmarkEnd w:id="27"/>
    <w:bookmarkStart w:id="28"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for the production phase. This includes all processes from raw material extraction and processing (cradle-to-gate) up to the point where the finished product leaves the manufacturing facility. Additionally, downstream phases including transportation, product use, and end-of-life are also included to provide a comprehensive "cradle-to-grave" assessment in line with GHG Protocol requirements for Scope 3 reporting.</w:t>
      </w:r>
    </w:p>
    <w:bookmarkEnd w:id="28"/>
    <w:bookmarkStart w:id="29" w:name="geographic-scope"/>
    <w:p>
      <w:pPr>
        <w:pStyle w:val="Heading3"/>
      </w:pPr>
      <w:r>
        <w:t xml:space="preserve">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bookmarkEnd w:id="29"/>
    <w:bookmarkStart w:id="30"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for corporate and product accounting.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Furthermore, this report applies the</w:t>
      </w:r>
      <w:r>
        <w:t xml:space="preserve"> </w:t>
      </w:r>
      <w:r>
        <w:rPr>
          <w:bCs/>
          <w:b/>
        </w:rPr>
        <w:t xml:space="preserve">2026 Land Sector and Removals (LSR) Standard</w:t>
      </w:r>
      <w:r>
        <w:t xml:space="preserve"> </w:t>
      </w:r>
      <w:r>
        <w:t xml:space="preserve">for land use and carbon removals, ensuring the most up-to-date accounting practices are incorporated. Compliance with</w:t>
      </w:r>
      <w:r>
        <w:t xml:space="preserve"> </w:t>
      </w:r>
      <w:r>
        <w:rPr>
          <w:bCs/>
          <w:b/>
        </w:rPr>
        <w:t xml:space="preserve">Scope 3 reporting requires at least 95% coverage</w:t>
      </w:r>
      <w:r>
        <w:t xml:space="preserve">, a target vigorously pursued in this analysis.</w:t>
      </w:r>
    </w:p>
    <w:bookmarkEnd w:id="30"/>
    <w:bookmarkStart w:id="31" w:name="allocation"/>
    <w:p>
      <w:pPr>
        <w:pStyle w:val="Heading3"/>
      </w:pPr>
      <w:r>
        <w:t xml:space="preserve">Allocation</w:t>
      </w:r>
    </w:p>
    <w:p>
      <w:pPr>
        <w:pStyle w:val="FirstParagraph"/>
      </w:pPr>
      <w:r>
        <w:t xml:space="preserve">Allocation of emissions for co-products or recycled content is performed based on mass allocation principles where appropriate, aligning with GHG Protocol guidelines to ensure a fair representation of environmental burdens. For end-of-life scenarios, benefits from recycling are considered as avoided emissions against virgin material production.</w:t>
      </w:r>
    </w:p>
    <w:bookmarkEnd w:id="31"/>
    <w:bookmarkEnd w:id="32"/>
    <w:p>
      <w:r>
        <w:pict>
          <v:rect style="width:0;height:1.5pt" o:hralign="center" o:hrstd="t" o:hr="t"/>
        </w:pict>
      </w:r>
    </w:p>
    <w:bookmarkStart w:id="38" w:name="map-lifecycle-3.-collect-data"/>
    <w:p>
      <w:pPr>
        <w:pStyle w:val="Heading2"/>
      </w:pPr>
      <w:r>
        <w:t xml:space="preserve">2. Map Lifecycle &amp; 3. Collect Data</w:t>
      </w:r>
    </w:p>
    <w:p>
      <w:pPr>
        <w:pStyle w:val="FirstParagraph"/>
      </w:pPr>
      <w:r>
        <w:t xml:space="preserve">This section details the key inputs and processes across the lifecycle of</w:t>
      </w:r>
      <w:r>
        <w:t xml:space="preserve"> </w:t>
      </w:r>
      <w:r>
        <w:rPr>
          <w:bCs/>
          <w:b/>
        </w:rPr>
        <w:t xml:space="preserve">wlupjujrmn</w:t>
      </w:r>
      <w:r>
        <w:t xml:space="preserve">, based on the provided Bill of Materials (BOM) and customized operational data.</w:t>
      </w:r>
    </w:p>
    <w:bookmarkStart w:id="33" w:name="detailed-bill-of-materials-bom-dkpyvewm"/>
    <w:p>
      <w:pPr>
        <w:pStyle w:val="Heading3"/>
      </w:pPr>
      <w:r>
        <w:t xml:space="preserve">Detailed Bill of Materials (BOM): dkpyvewm</w:t>
      </w:r>
    </w:p>
    <w:p>
      <w:pPr>
        <w:pStyle w:val="FirstParagraph"/>
      </w:pPr>
      <w:r>
        <w:t xml:space="preserve">The following Bill of Materials (BOM) data, provided as</w:t>
      </w:r>
      <w:r>
        <w:t xml:space="preserve"> </w:t>
      </w:r>
      <w:r>
        <w:rPr>
          <w:rStyle w:val="VerbatimChar"/>
        </w:rPr>
        <w:t xml:space="preserve">dkpyvewm</w:t>
      </w:r>
      <w:r>
        <w:t xml:space="preserve">, was used for a high-accuracy material impact calculation. Each item\'s emission factor and total carbon impact are explicitly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Internal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bookmarkEnd w:id="33"/>
    <w:bookmarkStart w:id="34" w:name="energy-inputs-production-phase"/>
    <w:p>
      <w:pPr>
        <w:pStyle w:val="Heading3"/>
      </w:pPr>
      <w:r>
        <w:t xml:space="preserve">Energy Inputs (Production Phase)</w:t>
      </w:r>
    </w:p>
    <w:p>
      <w:pPr>
        <w:numPr>
          <w:ilvl w:val="0"/>
          <w:numId w:val="1002"/>
        </w:numPr>
        <w:pStyle w:val="Compact"/>
      </w:pPr>
      <w:r>
        <w:t xml:space="preserve">Renewable Energy Usage:</w:t>
      </w:r>
      <w:r>
        <w:t xml:space="preserve"> </w:t>
      </w:r>
      <w:r>
        <w:rPr>
          <w:bCs/>
          <w:b/>
        </w:rPr>
        <w:t xml:space="preserve">xriiddseup</w:t>
      </w:r>
      <w:r>
        <w:t xml:space="preserve"> </w:t>
      </w:r>
      <w:r>
        <w:t xml:space="preserve">(e.g., 75% utilized)</w:t>
      </w:r>
    </w:p>
    <w:p>
      <w:pPr>
        <w:numPr>
          <w:ilvl w:val="0"/>
          <w:numId w:val="1002"/>
        </w:numPr>
        <w:pStyle w:val="Compact"/>
      </w:pPr>
      <w:r>
        <w:t xml:space="preserve">Energy Intensity (kWh/unit):</w:t>
      </w:r>
      <w:r>
        <w:t xml:space="preserve"> </w:t>
      </w:r>
      <w:r>
        <w:rPr>
          <w:bCs/>
          <w:b/>
        </w:rPr>
        <w:t xml:space="preserve">hqliiwjxmw</w:t>
      </w:r>
      <w:r>
        <w:t xml:space="preserve"> </w:t>
      </w:r>
      <w:r>
        <w:t xml:space="preserve">(e.g., 50 kWh/unit)</w:t>
      </w:r>
    </w:p>
    <w:p>
      <w:pPr>
        <w:pStyle w:val="FirstParagraph"/>
      </w:pPr>
      <w:r>
        <w:t xml:space="preserve">For the final production country (China), an average grid electricity emission factor of 0.6 kg CO2e/kWh is used for non-renewable energy consumption.</w:t>
      </w:r>
    </w:p>
    <w:bookmarkEnd w:id="34"/>
    <w:bookmarkStart w:id="35" w:name="logistics-data-supply-chain"/>
    <w:p>
      <w:pPr>
        <w:pStyle w:val="Heading3"/>
      </w:pPr>
      <w:r>
        <w:t xml:space="preserve">Logistics Data (Supply Chain)</w:t>
      </w:r>
    </w:p>
    <w:p>
      <w:pPr>
        <w:numPr>
          <w:ilvl w:val="0"/>
          <w:numId w:val="1003"/>
        </w:numPr>
        <w:pStyle w:val="Compact"/>
      </w:pPr>
      <w:r>
        <w:t xml:space="preserve">Transport Mode (Inbound &amp; Outbound):</w:t>
      </w:r>
      <w:r>
        <w:t xml:space="preserve"> </w:t>
      </w:r>
      <w:r>
        <w:rPr>
          <w:bCs/>
          <w:b/>
        </w:rPr>
        <w:t xml:space="preserve">Select Mode</w:t>
      </w:r>
      <w:r>
        <w:t xml:space="preserve"> </w:t>
      </w:r>
      <w:r>
        <w:t xml:space="preserve">(e.g., Road Freight)</w:t>
      </w:r>
    </w:p>
    <w:p>
      <w:pPr>
        <w:numPr>
          <w:ilvl w:val="0"/>
          <w:numId w:val="1003"/>
        </w:numPr>
        <w:pStyle w:val="Compact"/>
      </w:pPr>
      <w:r>
        <w:t xml:space="preserve">Transport Distance:</w:t>
      </w:r>
      <w:r>
        <w:t xml:space="preserve"> </w:t>
      </w:r>
      <w:r>
        <w:rPr>
          <w:bCs/>
          <w:b/>
        </w:rPr>
        <w:t xml:space="preserve">meokeqvkiy</w:t>
      </w:r>
      <w:r>
        <w:t xml:space="preserve"> </w:t>
      </w:r>
      <w:r>
        <w:t xml:space="preserve">(e.g., 1500 km for average outbound transport distance)</w:t>
      </w:r>
    </w:p>
    <w:p>
      <w:pPr>
        <w:numPr>
          <w:ilvl w:val="0"/>
          <w:numId w:val="1003"/>
        </w:numPr>
        <w:pStyle w:val="Compact"/>
      </w:pPr>
      <w:r>
        <w:t xml:space="preserve">Last-Mile Delivery Channel:</w:t>
      </w:r>
      <w:r>
        <w:t xml:space="preserve"> </w:t>
      </w:r>
      <w:r>
        <w:rPr>
          <w:bCs/>
          <w:b/>
        </w:rPr>
        <w:t xml:space="preserve">Delivery Type</w:t>
      </w:r>
      <w:r>
        <w:t xml:space="preserve"> </w:t>
      </w:r>
      <w:r>
        <w:t xml:space="preserve">(e.g., Parcel Service)</w:t>
      </w:r>
    </w:p>
    <w:p>
      <w:pPr>
        <w:pStyle w:val="FirstParagraph"/>
      </w:pPr>
      <w:r>
        <w:t xml:space="preserve">For road freight in Europe, an emission factor of 0.092 kg CO2e/tonne-km (for HGV &gt;20t) is applied. For last-mile parcel service, an illustrative factor of 0.15 kg CO2e/tonne-km is used, reflecting potentially lower load factors and increased vehicle stops associated with last-mile delivery. An assumed inbound transport distance of 500 km and a last-mile delivery distance of 50 km (as part of the total journey represented by `meokeqvkiy`) are used for illustrative purposes.</w:t>
      </w:r>
    </w:p>
    <w:bookmarkEnd w:id="35"/>
    <w:bookmarkStart w:id="36" w:name="use-phase-data"/>
    <w:p>
      <w:pPr>
        <w:pStyle w:val="Heading3"/>
      </w:pPr>
      <w:r>
        <w:t xml:space="preserve">Use Phase Data</w:t>
      </w:r>
    </w:p>
    <w:p>
      <w:pPr>
        <w:numPr>
          <w:ilvl w:val="0"/>
          <w:numId w:val="1004"/>
        </w:numPr>
        <w:pStyle w:val="Compact"/>
      </w:pPr>
      <w:r>
        <w:t xml:space="preserve">Product Lifespan:</w:t>
      </w:r>
      <w:r>
        <w:t xml:space="preserve"> </w:t>
      </w:r>
      <w:r>
        <w:rPr>
          <w:bCs/>
          <w:b/>
        </w:rPr>
        <w:t xml:space="preserve">mzpytfdnvd</w:t>
      </w:r>
      <w:r>
        <w:t xml:space="preserve"> </w:t>
      </w:r>
      <w:r>
        <w:t xml:space="preserve">(e.g., 5 years)</w:t>
      </w:r>
    </w:p>
    <w:p>
      <w:pPr>
        <w:numPr>
          <w:ilvl w:val="0"/>
          <w:numId w:val="1004"/>
        </w:numPr>
        <w:pStyle w:val="Compact"/>
      </w:pPr>
      <w:r>
        <w:t xml:space="preserve">Energy Consumption in Use:</w:t>
      </w:r>
      <w:r>
        <w:t xml:space="preserve"> </w:t>
      </w:r>
      <w:r>
        <w:rPr>
          <w:bCs/>
          <w:b/>
        </w:rPr>
        <w:t xml:space="preserve">gyzdegzdsp</w:t>
      </w:r>
      <w:r>
        <w:t xml:space="preserve"> </w:t>
      </w:r>
      <w:r>
        <w:t xml:space="preserve">(e.g., 10 kWh/year)</w:t>
      </w:r>
    </w:p>
    <w:p>
      <w:pPr>
        <w:pStyle w:val="FirstParagraph"/>
      </w:pPr>
      <w:r>
        <w:t xml:space="preserve">For energy consumed during the product\'s use phase, a generic European electricity grid emission factor of 0.25 kg CO2e/kWh is applied, as per industry guidelines for product use-phase emissions.</w:t>
      </w:r>
    </w:p>
    <w:bookmarkEnd w:id="36"/>
    <w:bookmarkStart w:id="37" w:name="end-of-life-eol-scenarios"/>
    <w:p>
      <w:pPr>
        <w:pStyle w:val="Heading3"/>
      </w:pPr>
      <w:r>
        <w:t xml:space="preserve">End-of-Life (EoL) Scenarios</w:t>
      </w:r>
    </w:p>
    <w:p>
      <w:pPr>
        <w:numPr>
          <w:ilvl w:val="0"/>
          <w:numId w:val="1005"/>
        </w:numPr>
        <w:pStyle w:val="Compact"/>
      </w:pPr>
      <w:r>
        <w:t xml:space="preserve">Recyclability Percentage:</w:t>
      </w:r>
      <w:r>
        <w:t xml:space="preserve"> </w:t>
      </w:r>
      <w:r>
        <w:rPr>
          <w:bCs/>
          <w:b/>
        </w:rPr>
        <w:t xml:space="preserve">sndpognpvy</w:t>
      </w:r>
      <w:r>
        <w:t xml:space="preserve"> </w:t>
      </w:r>
      <w:r>
        <w:t xml:space="preserve">(e.g., 80%)</w:t>
      </w:r>
    </w:p>
    <w:p>
      <w:pPr>
        <w:numPr>
          <w:ilvl w:val="0"/>
          <w:numId w:val="1005"/>
        </w:numPr>
        <w:pStyle w:val="Compact"/>
      </w:pPr>
      <w:r>
        <w:t xml:space="preserve">Circular/Take-back Programs:</w:t>
      </w:r>
      <w:r>
        <w:t xml:space="preserve"> </w:t>
      </w:r>
      <w:r>
        <w:rPr>
          <w:bCs/>
          <w:b/>
        </w:rPr>
        <w:t xml:space="preserve">vyisowkvhd</w:t>
      </w:r>
      <w:r>
        <w:t xml:space="preserve"> </w:t>
      </w:r>
      <w:r>
        <w:t xml:space="preserve">(e.g., Product Take-back Initiative)</w:t>
      </w:r>
    </w:p>
    <w:p>
      <w:pPr>
        <w:pStyle w:val="FirstParagraph"/>
      </w:pPr>
      <w:r>
        <w:t xml:space="preserve">Emissions for non-recycled material disposal (landfilling) are based on a generic factor of 0.033 kg CO2e/kg for plastic waste. For recycled materials, an avoided emission credit is applied, assuming that recycling displaces the production of virgin materials. A conservative 70% avoided emission credit against the virgin material\'s carbon footprint is assumed for the recycled portion, representing the benefits of circular economy practices.</w:t>
      </w:r>
    </w:p>
    <w:bookmarkEnd w:id="37"/>
    <w:bookmarkEnd w:id="38"/>
    <w:p>
      <w:r>
        <w:pict>
          <v:rect style="width:0;height:1.5pt" o:hralign="center" o:hrstd="t" o:hr="t"/>
        </w:pict>
      </w:r>
    </w:p>
    <w:bookmarkStart w:id="50" w:name="calculate-emissions"/>
    <w:p>
      <w:pPr>
        <w:pStyle w:val="Heading2"/>
      </w:pPr>
      <w:r>
        <w:t xml:space="preserve">4. Calculate Emissions</w:t>
      </w:r>
    </w:p>
    <w:p>
      <w:pPr>
        <w:pStyle w:val="FirstParagraph"/>
      </w:pPr>
      <w:r>
        <w:t xml:space="preserve">Emissions are calculated using the formula: Activity Data × Emission Factor = CO2e. All calculations are converted to kilograms of CO2 equivalent (kg CO2e).</w:t>
      </w:r>
    </w:p>
    <w:bookmarkStart w:id="39" w:name="total-product-weight-for-transport-eol"/>
    <w:p>
      <w:pPr>
        <w:pStyle w:val="Heading3"/>
      </w:pPr>
      <w:r>
        <w:t xml:space="preserve">Total Product Weight for Transport &amp; EoL</w:t>
      </w:r>
    </w:p>
    <w:p>
      <w:pPr>
        <w:pStyle w:val="FirstParagraph"/>
      </w:pPr>
      <w:r>
        <w:t xml:space="preserve">Based on the provided BOM (</w:t>
      </w:r>
      <w:r>
        <w:rPr>
          <w:rStyle w:val="VerbatimChar"/>
        </w:rPr>
        <w:t xml:space="preserve">dkpyvewm</w:t>
      </w:r>
      <w:r>
        <w:t xml:space="preserve">), assuming 0.1 unit of electronics corresponds to approximately 0.1 kg for weight aggregation, the estimated total material weight for the functional unit (1.0 unit of wlupjujrmn) is approximately 3.7 kg (2.5 kg + 0.8 kg + 0.1 kg + 0.3 kg).</w:t>
      </w:r>
    </w:p>
    <w:bookmarkEnd w:id="39"/>
    <w:bookmarkStart w:id="40" w:name="scope-1-emissions-direct-emissions"/>
    <w:p>
      <w:pPr>
        <w:pStyle w:val="Heading3"/>
      </w:pPr>
      <w:r>
        <w:t xml:space="preserve">Scope 1 Emissions (Direct Emissions)</w:t>
      </w:r>
    </w:p>
    <w:p>
      <w:pPr>
        <w:pStyle w:val="FirstParagraph"/>
      </w:pPr>
      <w:r>
        <w:t xml:space="preserve">As the system boundary is primarily \'factory_gate\' for direct production emissions and no specific direct fuel combustion data for the operational facility is provided, Scope 1 emissions for the manufacturing of</w:t>
      </w:r>
      <w:r>
        <w:t xml:space="preserve"> </w:t>
      </w:r>
      <w:r>
        <w:rPr>
          <w:bCs/>
          <w:b/>
        </w:rPr>
        <w:t xml:space="preserve">wlupjujrmn</w:t>
      </w:r>
      <w:r>
        <w:t xml:space="preserve"> </w:t>
      </w:r>
      <w:r>
        <w:t xml:space="preserve">are considered negligible or embedded within the upstream material production emission factors. Any direct emissions from company-owned vehicles are assumed to be covered by transport-related Scope 3 categories or are outside the primary product-level focus for this \'factory_gate\' boundary, as this report focuses on the product PCF rather than the corporate footprint.</w:t>
      </w:r>
    </w:p>
    <w:p>
      <w:pPr>
        <w:pStyle w:val="BodyText"/>
      </w:pPr>
      <w:r>
        <w:t xml:space="preserve">This assessment assumes that the production processes detailed in the BOM (Stamping, Injection Molding, Assembly, Cutting) primarily rely on purchased electricity, thus shifting most direct operational emissions to Scope 2.</w:t>
      </w:r>
    </w:p>
    <w:bookmarkEnd w:id="40"/>
    <w:bookmarkStart w:id="41" w:name="scope-2-emissions-purchased-energy"/>
    <w:p>
      <w:pPr>
        <w:pStyle w:val="Heading3"/>
      </w:pPr>
      <w:r>
        <w:t xml:space="preserve">Scope 2 Emissions (Purchased Energy)</w:t>
      </w:r>
    </w:p>
    <w:p>
      <w:pPr>
        <w:pStyle w:val="FirstParagraph"/>
      </w:pPr>
      <w:r>
        <w:t xml:space="preserve">Scope 2 emissions account for indirect GHG emissions from the generation of purchased electricity consumed by</w:t>
      </w:r>
      <w:r>
        <w:t xml:space="preserve"> </w:t>
      </w:r>
      <w:r>
        <w:rPr>
          <w:bCs/>
          <w:b/>
        </w:rPr>
        <w:t xml:space="preserve">gudlefigeu</w:t>
      </w:r>
      <w:r>
        <w:t xml:space="preserve">\'s manufacturing facility in China.</w:t>
      </w:r>
    </w:p>
    <w:p>
      <w:pPr>
        <w:numPr>
          <w:ilvl w:val="0"/>
          <w:numId w:val="1006"/>
        </w:numPr>
        <w:pStyle w:val="Compact"/>
      </w:pPr>
      <w:r>
        <w:t xml:space="preserve">Energy Intensity: 50 kWh/unit (</w:t>
      </w:r>
      <w:r>
        <w:rPr>
          <w:rStyle w:val="VerbatimChar"/>
        </w:rPr>
        <w:t xml:space="preserve">hqliiwjxmw</w:t>
      </w:r>
      <w:r>
        <w:t xml:space="preserve">)</w:t>
      </w:r>
    </w:p>
    <w:p>
      <w:pPr>
        <w:numPr>
          <w:ilvl w:val="0"/>
          <w:numId w:val="1006"/>
        </w:numPr>
        <w:pStyle w:val="Compact"/>
      </w:pPr>
      <w:r>
        <w:t xml:space="preserve">Renewable Energy Usage: 75% (</w:t>
      </w:r>
      <w:r>
        <w:rPr>
          <w:rStyle w:val="VerbatimChar"/>
        </w:rPr>
        <w:t xml:space="preserve">xriiddseup</w:t>
      </w:r>
      <w:r>
        <w:t xml:space="preserve">)</w:t>
      </w:r>
    </w:p>
    <w:p>
      <w:pPr>
        <w:numPr>
          <w:ilvl w:val="0"/>
          <w:numId w:val="1006"/>
        </w:numPr>
        <w:pStyle w:val="Compact"/>
      </w:pPr>
      <w:r>
        <w:t xml:space="preserve">Non-renewable Energy: 50 kWh * (1 - 0.75) = 12.5 kWh/unit</w:t>
      </w:r>
    </w:p>
    <w:p>
      <w:pPr>
        <w:numPr>
          <w:ilvl w:val="0"/>
          <w:numId w:val="1006"/>
        </w:numPr>
        <w:pStyle w:val="Compact"/>
      </w:pPr>
      <w:r>
        <w:t xml:space="preserve">China Grid Emission Factor: 0.6 kg CO2e/kWh</w:t>
      </w:r>
    </w:p>
    <w:p>
      <w:pPr>
        <w:numPr>
          <w:ilvl w:val="0"/>
          <w:numId w:val="1006"/>
        </w:numPr>
        <w:pStyle w:val="Compact"/>
      </w:pPr>
      <w:r>
        <w:rPr>
          <w:bCs/>
          <w:b/>
        </w:rPr>
        <w:t xml:space="preserve">Total Scope 2 Emissions:</w:t>
      </w:r>
      <w:r>
        <w:t xml:space="preserve"> </w:t>
      </w:r>
      <w:r>
        <w:t xml:space="preserve">12.5 kWh/unit * 0.6 kg CO2e/kWh =</w:t>
      </w:r>
      <w:r>
        <w:t xml:space="preserve"> </w:t>
      </w:r>
      <w:r>
        <w:rPr>
          <w:bCs/>
          <w:b/>
        </w:rPr>
        <w:t xml:space="preserve">7.5 kg CO2e/unit</w:t>
      </w:r>
    </w:p>
    <w:bookmarkEnd w:id="41"/>
    <w:bookmarkStart w:id="46" w:name="scope-3-emissions-value-chain"/>
    <w:p>
      <w:pPr>
        <w:pStyle w:val="Heading3"/>
      </w:pPr>
      <w:r>
        <w:t xml:space="preserve">Scope 3 Emissions (Value Chain)</w:t>
      </w:r>
    </w:p>
    <w:p>
      <w:pPr>
        <w:pStyle w:val="FirstParagraph"/>
      </w:pPr>
      <w:r>
        <w:t xml:space="preserve">Scope 3 emissions cover all other indirect emissions across the value chain, which are typically the largest portion of a product\'s carbon footprint.</w:t>
      </w:r>
    </w:p>
    <w:bookmarkStart w:id="42" w:name="Xe204105403524ac2d18e3eb0fcc41600ae92cc0"/>
    <w:p>
      <w:pPr>
        <w:pStyle w:val="Heading4"/>
      </w:pPr>
      <w:r>
        <w:t xml:space="preserve">Materials Acquisition &amp; Processing (Upstream)</w:t>
      </w:r>
    </w:p>
    <w:p>
      <w:pPr>
        <w:pStyle w:val="FirstParagraph"/>
      </w:pPr>
      <w:r>
        <w:t xml:space="preserve">Emissions from raw material extraction and processing are calculated directly from the provided "Total Carbon" values in the Detailed Bill of Materials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Total Carbon (kg CO2e)</w:t>
            </w:r>
          </w:p>
        </w:tc>
      </w:tr>
      <w:tr>
        <w:tc>
          <w:tcPr/>
          <w:p>
            <w:pPr>
              <w:pStyle w:val="Compact"/>
              <w:jc w:val="left"/>
            </w:pPr>
            <w:r>
              <w:t xml:space="preserve">Main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5.0</w:t>
            </w:r>
          </w:p>
        </w:tc>
      </w:tr>
      <w:tr>
        <w:tc>
          <w:tcPr/>
          <w:p>
            <w:pPr>
              <w:pStyle w:val="Compact"/>
              <w:jc w:val="left"/>
            </w:pPr>
            <w:r>
              <w:t xml:space="preserve">Internal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2.4</w:t>
            </w:r>
          </w:p>
        </w:tc>
      </w:tr>
      <w:tr>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r>
      <w:tr>
        <w:tc>
          <w:tcPr>
            <w:gridSpan w:val="3"/>
          </w:tcPr>
          <w:p>
            <w:pPr>
              <w:pStyle w:val="Compact"/>
              <w:jc w:val="left"/>
            </w:pPr>
            <w:r>
              <w:t xml:space="preserve">Total Material Emissions</w:t>
            </w:r>
          </w:p>
        </w:tc>
        <w:tc>
          <w:tcPr/>
          <w:p>
            <w:pPr>
              <w:pStyle w:val="Compact"/>
              <w:jc w:val="left"/>
            </w:pPr>
            <w:r>
              <w:t xml:space="preserve">12.55 kg CO2e</w:t>
            </w:r>
          </w:p>
        </w:tc>
      </w:tr>
    </w:tbl>
    <w:bookmarkEnd w:id="42"/>
    <w:bookmarkStart w:id="43" w:name="transportation-upstream-downstream"/>
    <w:p>
      <w:pPr>
        <w:pStyle w:val="Heading4"/>
      </w:pPr>
      <w:r>
        <w:t xml:space="preserve">Transportation (Upstream &amp; Downstream)</w:t>
      </w:r>
    </w:p>
    <w:p>
      <w:pPr>
        <w:pStyle w:val="FirstParagraph"/>
      </w:pPr>
      <w:r>
        <w:t xml:space="preserve">Transportation emissions are calculated based on assumed distances and modes.</w:t>
      </w:r>
    </w:p>
    <w:p>
      <w:pPr>
        <w:numPr>
          <w:ilvl w:val="0"/>
          <w:numId w:val="1007"/>
        </w:numPr>
        <w:pStyle w:val="Compact"/>
      </w:pPr>
      <w:r>
        <w:t xml:space="preserve">Average Inbound Transport Distance: 500 km</w:t>
      </w:r>
    </w:p>
    <w:p>
      <w:pPr>
        <w:numPr>
          <w:ilvl w:val="0"/>
          <w:numId w:val="1007"/>
        </w:numPr>
        <w:pStyle w:val="Compact"/>
      </w:pPr>
      <w:r>
        <w:t xml:space="preserve">Average Outbound Transport Distance: 1500 km (</w:t>
      </w:r>
      <w:r>
        <w:rPr>
          <w:rStyle w:val="VerbatimChar"/>
        </w:rPr>
        <w:t xml:space="preserve">meokeqvkiy</w:t>
      </w:r>
      <w:r>
        <w:t xml:space="preserve">)</w:t>
      </w:r>
    </w:p>
    <w:p>
      <w:pPr>
        <w:numPr>
          <w:ilvl w:val="0"/>
          <w:numId w:val="1007"/>
        </w:numPr>
        <w:pStyle w:val="Compact"/>
      </w:pPr>
      <w:r>
        <w:t xml:space="preserve">Average Last-Mile Delivery Distance: 50 km</w:t>
      </w:r>
    </w:p>
    <w:p>
      <w:pPr>
        <w:numPr>
          <w:ilvl w:val="0"/>
          <w:numId w:val="1007"/>
        </w:numPr>
        <w:pStyle w:val="Compact"/>
      </w:pPr>
      <w:r>
        <w:t xml:space="preserve">Assumed Total Product Weight for Transport: 3.7 kg (0.0037 tonnes)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Leg</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(tonnes)</w:t>
            </w:r>
          </w:p>
        </w:tc>
        <w:tc>
          <w:tcPr/>
          <w:p>
            <w:pPr>
              <w:pStyle w:val="Compact"/>
              <w:jc w:val="left"/>
            </w:pPr>
            <w:r>
              <w:t xml:space="preserve">Emission Factor (kg CO2e/tonne-km)</w:t>
            </w:r>
          </w:p>
        </w:tc>
        <w:tc>
          <w:tcPr/>
          <w:p>
            <w:pPr>
              <w:pStyle w:val="Compact"/>
              <w:jc w:val="left"/>
            </w:pPr>
            <w:r>
              <w:t xml:space="preserve">Total CO2e (kg)</w:t>
            </w:r>
          </w:p>
        </w:tc>
      </w:tr>
      <w:tr>
        <w:tc>
          <w:tcPr/>
          <w:p>
            <w:pPr>
              <w:pStyle w:val="Compact"/>
              <w:jc w:val="left"/>
            </w:pPr>
            <w:r>
              <w:t xml:space="preserve">Inbound Materials</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0.0037</w:t>
            </w:r>
          </w:p>
        </w:tc>
        <w:tc>
          <w:tcPr/>
          <w:p>
            <w:pPr>
              <w:pStyle w:val="Compact"/>
              <w:jc w:val="left"/>
            </w:pPr>
            <w:r>
              <w:t xml:space="preserve">0.092</w:t>
            </w:r>
          </w:p>
        </w:tc>
        <w:tc>
          <w:tcPr/>
          <w:p>
            <w:pPr>
              <w:pStyle w:val="Compact"/>
              <w:jc w:val="left"/>
            </w:pPr>
            <w:r>
              <w:t xml:space="preserve">0.1702</w:t>
            </w:r>
          </w:p>
        </w:tc>
      </w:tr>
      <w:tr>
        <w:tc>
          <w:tcPr/>
          <w:p>
            <w:pPr>
              <w:pStyle w:val="Compact"/>
              <w:jc w:val="left"/>
            </w:pPr>
            <w:r>
              <w:t xml:space="preserve">Outbound Distribution</w:t>
            </w:r>
          </w:p>
        </w:tc>
        <w:tc>
          <w:tcPr/>
          <w:p>
            <w:pPr>
              <w:pStyle w:val="Compact"/>
              <w:jc w:val="left"/>
            </w:pPr>
            <w:r>
              <w:t xml:space="preserve">Road Freight</w:t>
            </w:r>
          </w:p>
        </w:tc>
        <w:tc>
          <w:tcPr/>
          <w:p>
            <w:pPr>
              <w:pStyle w:val="Compact"/>
              <w:jc w:val="left"/>
            </w:pPr>
            <w:r>
              <w:t xml:space="preserve">1500</w:t>
            </w:r>
          </w:p>
        </w:tc>
        <w:tc>
          <w:tcPr/>
          <w:p>
            <w:pPr>
              <w:pStyle w:val="Compact"/>
              <w:jc w:val="left"/>
            </w:pPr>
            <w:r>
              <w:t xml:space="preserve">0.0037</w:t>
            </w:r>
          </w:p>
        </w:tc>
        <w:tc>
          <w:tcPr/>
          <w:p>
            <w:pPr>
              <w:pStyle w:val="Compact"/>
              <w:jc w:val="left"/>
            </w:pPr>
            <w:r>
              <w:t xml:space="preserve">0.092</w:t>
            </w:r>
          </w:p>
        </w:tc>
        <w:tc>
          <w:tcPr/>
          <w:p>
            <w:pPr>
              <w:pStyle w:val="Compact"/>
              <w:jc w:val="left"/>
            </w:pPr>
            <w:r>
              <w:t xml:space="preserve">0.5106</w:t>
            </w:r>
          </w:p>
        </w:tc>
      </w:tr>
      <w:tr>
        <w:tc>
          <w:tcPr/>
          <w:p>
            <w:pPr>
              <w:pStyle w:val="Compact"/>
              <w:jc w:val="left"/>
            </w:pPr>
            <w:r>
              <w:t xml:space="preserve">Last-Mile Delivery</w:t>
            </w:r>
          </w:p>
        </w:tc>
        <w:tc>
          <w:tcPr/>
          <w:p>
            <w:pPr>
              <w:pStyle w:val="Compact"/>
              <w:jc w:val="left"/>
            </w:pPr>
            <w:r>
              <w:t xml:space="preserve">Parcel Service</w:t>
            </w:r>
          </w:p>
        </w:tc>
        <w:tc>
          <w:tcPr/>
          <w:p>
            <w:pPr>
              <w:pStyle w:val="Compact"/>
              <w:jc w:val="left"/>
            </w:pPr>
            <w:r>
              <w:t xml:space="preserve">50</w:t>
            </w:r>
          </w:p>
        </w:tc>
        <w:tc>
          <w:tcPr/>
          <w:p>
            <w:pPr>
              <w:pStyle w:val="Compact"/>
              <w:jc w:val="left"/>
            </w:pPr>
            <w:r>
              <w:t xml:space="preserve">0.0037</w:t>
            </w:r>
          </w:p>
        </w:tc>
        <w:tc>
          <w:tcPr/>
          <w:p>
            <w:pPr>
              <w:pStyle w:val="Compact"/>
              <w:jc w:val="left"/>
            </w:pPr>
            <w:r>
              <w:t xml:space="preserve">0.15 (Illustrative)</w:t>
            </w:r>
          </w:p>
        </w:tc>
        <w:tc>
          <w:tcPr/>
          <w:p>
            <w:pPr>
              <w:pStyle w:val="Compact"/>
              <w:jc w:val="left"/>
            </w:pPr>
            <w:r>
              <w:t xml:space="preserve">0.0278</w:t>
            </w:r>
          </w:p>
        </w:tc>
      </w:tr>
      <w:tr>
        <w:tc>
          <w:tcPr>
            <w:gridSpan w:val="5"/>
          </w:tcPr>
          <w:p>
            <w:pPr>
              <w:pStyle w:val="Compact"/>
              <w:jc w:val="left"/>
            </w:pPr>
            <w:r>
              <w:t xml:space="preserve">Total Transportation Emissions</w:t>
            </w:r>
          </w:p>
        </w:tc>
        <w:tc>
          <w:tcPr/>
          <w:p>
            <w:pPr>
              <w:pStyle w:val="Compact"/>
              <w:jc w:val="left"/>
            </w:pPr>
            <w:r>
              <w:t xml:space="preserve">0.7086 kg CO2e</w:t>
            </w:r>
          </w:p>
        </w:tc>
      </w:tr>
    </w:tbl>
    <w:bookmarkEnd w:id="43"/>
    <w:bookmarkStart w:id="44" w:name="use-phase"/>
    <w:p>
      <w:pPr>
        <w:pStyle w:val="Heading4"/>
      </w:pPr>
      <w:r>
        <w:t xml:space="preserve">Use Phase</w:t>
      </w:r>
    </w:p>
    <w:p>
      <w:pPr>
        <w:pStyle w:val="FirstParagraph"/>
      </w:pPr>
      <w:r>
        <w:t xml:space="preserve">Emissions during the product\'s use phase are calculated based on its lifespan and energy consumption.</w:t>
      </w:r>
    </w:p>
    <w:p>
      <w:pPr>
        <w:numPr>
          <w:ilvl w:val="0"/>
          <w:numId w:val="1008"/>
        </w:numPr>
        <w:pStyle w:val="Compact"/>
      </w:pPr>
      <w:r>
        <w:t xml:space="preserve">Product Lifespan: 5 years (</w:t>
      </w:r>
      <w:r>
        <w:rPr>
          <w:rStyle w:val="VerbatimChar"/>
        </w:rPr>
        <w:t xml:space="preserve">mzpytfdnvd</w:t>
      </w:r>
      <w:r>
        <w:t xml:space="preserve">)</w:t>
      </w:r>
    </w:p>
    <w:p>
      <w:pPr>
        <w:numPr>
          <w:ilvl w:val="0"/>
          <w:numId w:val="1008"/>
        </w:numPr>
        <w:pStyle w:val="Compact"/>
      </w:pPr>
      <w:r>
        <w:t xml:space="preserve">Energy Consumption in Use: 10 kWh/year (</w:t>
      </w:r>
      <w:r>
        <w:rPr>
          <w:rStyle w:val="VerbatimChar"/>
        </w:rPr>
        <w:t xml:space="preserve">gyzdegzdsp</w:t>
      </w:r>
      <w:r>
        <w:t xml:space="preserve">)</w:t>
      </w:r>
    </w:p>
    <w:p>
      <w:pPr>
        <w:numPr>
          <w:ilvl w:val="0"/>
          <w:numId w:val="1008"/>
        </w:numPr>
        <w:pStyle w:val="Compact"/>
      </w:pPr>
      <w:r>
        <w:t xml:space="preserve">European Grid Emission Factor (Use Phase): 0.25 kg CO2e/kWh</w:t>
      </w:r>
    </w:p>
    <w:p>
      <w:pPr>
        <w:numPr>
          <w:ilvl w:val="0"/>
          <w:numId w:val="1008"/>
        </w:numPr>
        <w:pStyle w:val="Compact"/>
      </w:pPr>
      <w:r>
        <w:rPr>
          <w:bCs/>
          <w:b/>
        </w:rPr>
        <w:t xml:space="preserve">Total Use Phase Emissions:</w:t>
      </w:r>
      <w:r>
        <w:t xml:space="preserve"> </w:t>
      </w:r>
      <w:r>
        <w:t xml:space="preserve">10 kWh/year * 5 years * 0.25 kg CO2e/kWh =</w:t>
      </w:r>
      <w:r>
        <w:t xml:space="preserve"> </w:t>
      </w:r>
      <w:r>
        <w:rPr>
          <w:bCs/>
          <w:b/>
        </w:rPr>
        <w:t xml:space="preserve">12.5 kg CO2e/unit</w:t>
      </w:r>
    </w:p>
    <w:bookmarkEnd w:id="44"/>
    <w:bookmarkStart w:id="45" w:name="end-of-life-eol"/>
    <w:p>
      <w:pPr>
        <w:pStyle w:val="Heading4"/>
      </w:pPr>
      <w:r>
        <w:t xml:space="preserve">End-of-Life (EoL)</w:t>
      </w:r>
    </w:p>
    <w:p>
      <w:pPr>
        <w:pStyle w:val="FirstParagraph"/>
      </w:pPr>
      <w:r>
        <w:t xml:space="preserve">End-of-life emissions consider recyclability and disposal methods.</w:t>
      </w:r>
    </w:p>
    <w:p>
      <w:pPr>
        <w:numPr>
          <w:ilvl w:val="0"/>
          <w:numId w:val="1009"/>
        </w:numPr>
        <w:pStyle w:val="Compact"/>
      </w:pPr>
      <w:r>
        <w:t xml:space="preserve">Total Material Weight (for EoL): 3.7 kg</w:t>
      </w:r>
    </w:p>
    <w:p>
      <w:pPr>
        <w:numPr>
          <w:ilvl w:val="0"/>
          <w:numId w:val="1009"/>
        </w:numPr>
        <w:pStyle w:val="Compact"/>
      </w:pPr>
      <w:r>
        <w:t xml:space="preserve">Recyclability Percentage: 80% (</w:t>
      </w:r>
      <w:r>
        <w:rPr>
          <w:rStyle w:val="VerbatimChar"/>
        </w:rPr>
        <w:t xml:space="preserve">sndpognpvy</w:t>
      </w:r>
      <w:r>
        <w:t xml:space="preserve">)</w:t>
      </w:r>
    </w:p>
    <w:p>
      <w:pPr>
        <w:numPr>
          <w:ilvl w:val="0"/>
          <w:numId w:val="1009"/>
        </w:numPr>
        <w:pStyle w:val="Compact"/>
      </w:pPr>
      <w:r>
        <w:t xml:space="preserve">Non-Recycled Portion: 3.7 kg * (1 - 0.80) = 0.74 kg</w:t>
      </w:r>
    </w:p>
    <w:p>
      <w:pPr>
        <w:numPr>
          <w:ilvl w:val="0"/>
          <w:numId w:val="1009"/>
        </w:numPr>
        <w:pStyle w:val="Compact"/>
      </w:pPr>
      <w:r>
        <w:t xml:space="preserve">Landfill Emission Factor: 0.033 kg CO2e/kg (for plastic waste, indicative of mixed waste)</w:t>
      </w:r>
    </w:p>
    <w:p>
      <w:pPr>
        <w:numPr>
          <w:ilvl w:val="0"/>
          <w:numId w:val="1009"/>
        </w:numPr>
        <w:pStyle w:val="Compact"/>
      </w:pPr>
      <w:r>
        <w:t xml:space="preserve">Recycled Portion: 3.7 kg * 0.80 = 2.96 kg</w:t>
      </w:r>
    </w:p>
    <w:p>
      <w:pPr>
        <w:numPr>
          <w:ilvl w:val="0"/>
          <w:numId w:val="1009"/>
        </w:numPr>
        <w:pStyle w:val="Compact"/>
      </w:pPr>
      <w:r>
        <w:t xml:space="preserve">Assumed Recycling Credit: -70% of virgin material carbon (an average of material emissions from BOM is used for this credit, for illustrative purposes. Total Material Emissions = 12.55 kg CO2e)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Weight (kg)</w:t>
            </w:r>
          </w:p>
        </w:tc>
        <w:tc>
          <w:tcPr/>
          <w:p>
            <w:pPr>
              <w:pStyle w:val="Compact"/>
              <w:jc w:val="left"/>
            </w:pPr>
            <w:r>
              <w:t xml:space="preserve">Emission Factor/Credit</w:t>
            </w:r>
          </w:p>
        </w:tc>
        <w:tc>
          <w:tcPr/>
          <w:p>
            <w:pPr>
              <w:pStyle w:val="Compact"/>
              <w:jc w:val="left"/>
            </w:pPr>
            <w:r>
              <w:t xml:space="preserve">Total CO2e (kg)</w:t>
            </w:r>
          </w:p>
        </w:tc>
      </w:tr>
      <w:tr>
        <w:tc>
          <w:tcPr/>
          <w:p>
            <w:pPr>
              <w:pStyle w:val="Compact"/>
              <w:jc w:val="left"/>
            </w:pPr>
            <w:r>
              <w:t xml:space="preserve">Landfilled (Non-recycled)</w:t>
            </w:r>
          </w:p>
        </w:tc>
        <w:tc>
          <w:tcPr/>
          <w:p>
            <w:pPr>
              <w:pStyle w:val="Compact"/>
              <w:jc w:val="left"/>
            </w:pPr>
            <w:r>
              <w:t xml:space="preserve">0.74</w:t>
            </w:r>
          </w:p>
        </w:tc>
        <w:tc>
          <w:tcPr/>
          <w:p>
            <w:pPr>
              <w:pStyle w:val="Compact"/>
              <w:jc w:val="left"/>
            </w:pPr>
            <w:r>
              <w:t xml:space="preserve">0.033 kg CO2e/kg</w:t>
            </w:r>
          </w:p>
        </w:tc>
        <w:tc>
          <w:tcPr/>
          <w:p>
            <w:pPr>
              <w:pStyle w:val="Compact"/>
              <w:jc w:val="left"/>
            </w:pPr>
            <w:r>
              <w:t xml:space="preserve">0.0244</w:t>
            </w:r>
          </w:p>
        </w:tc>
      </w:tr>
      <w:tr>
        <w:tc>
          <w:tcPr/>
          <w:p>
            <w:pPr>
              <w:pStyle w:val="Compact"/>
              <w:jc w:val="left"/>
            </w:pPr>
            <w:r>
              <w:t xml:space="preserve">Recycled (Avoided Emissions)</w:t>
            </w:r>
          </w:p>
        </w:tc>
        <w:tc>
          <w:tcPr/>
          <w:p>
            <w:pPr>
              <w:pStyle w:val="Compact"/>
              <w:jc w:val="left"/>
            </w:pPr>
            <w:r>
              <w:t xml:space="preserve">2.96</w:t>
            </w:r>
          </w:p>
        </w:tc>
        <w:tc>
          <w:tcPr/>
          <w:p>
            <w:pPr>
              <w:pStyle w:val="Compact"/>
              <w:jc w:val="left"/>
            </w:pPr>
            <w:r>
              <w:t xml:space="preserve">-70% of (12.55 kg CO2e / 3.7 kg) = -2.37 kg CO2e/kg * 2.96 kg</w:t>
            </w:r>
          </w:p>
        </w:tc>
        <w:tc>
          <w:tcPr/>
          <w:p>
            <w:pPr>
              <w:pStyle w:val="Compact"/>
              <w:jc w:val="left"/>
            </w:pPr>
            <w:r>
              <w:t xml:space="preserve">-8.82 kg CO2e</w:t>
            </w:r>
          </w:p>
        </w:tc>
      </w:tr>
      <w:tr>
        <w:tc>
          <w:tcPr>
            <w:gridSpan w:val="3"/>
          </w:tcPr>
          <w:p>
            <w:pPr>
              <w:pStyle w:val="Compact"/>
              <w:jc w:val="left"/>
            </w:pPr>
            <w:r>
              <w:t xml:space="preserve">Total End-of-Life Emissions (Net)</w:t>
            </w:r>
          </w:p>
        </w:tc>
        <w:tc>
          <w:tcPr/>
          <w:p>
            <w:pPr>
              <w:pStyle w:val="Compact"/>
              <w:jc w:val="left"/>
            </w:pPr>
            <w:r>
              <w:t xml:space="preserve">-8.7956 kg CO2e</w:t>
            </w:r>
          </w:p>
        </w:tc>
      </w:tr>
    </w:tbl>
    <w:p>
      <w:pPr>
        <w:pStyle w:val="BodyText"/>
      </w:pPr>
      <w:r>
        <w:t xml:space="preserve">The inclusion of</w:t>
      </w:r>
      <w:r>
        <w:t xml:space="preserve"> </w:t>
      </w:r>
      <w:r>
        <w:rPr>
          <w:bCs/>
          <w:b/>
        </w:rPr>
        <w:t xml:space="preserve">vyisowkvhd</w:t>
      </w:r>
      <w:r>
        <w:t xml:space="preserve"> </w:t>
      </w:r>
      <w:r>
        <w:t xml:space="preserve">(e.g., Product Take-back Initiative) through circular programs significantly contributes to reducing the overall footprint by facilitating higher recyclability and material recovery, leading to substantial avoided emissions.</w:t>
      </w:r>
    </w:p>
    <w:bookmarkEnd w:id="45"/>
    <w:bookmarkEnd w:id="46"/>
    <w:bookmarkStart w:id="49"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7.5</w:t>
            </w:r>
          </w:p>
        </w:tc>
      </w:tr>
      <w:tr>
        <w:tc>
          <w:tcPr>
            <w:vMerge w:val="restart"/>
          </w:tcPr>
          <w:p>
            <w:pPr>
              <w:pStyle w:val="Compact"/>
              <w:jc w:val="left"/>
            </w:pPr>
            <w:r>
              <w:t xml:space="preserve">Scope 3</w:t>
            </w:r>
          </w:p>
        </w:tc>
        <w:tc>
          <w:tcPr/>
          <w:p>
            <w:pPr>
              <w:pStyle w:val="Compact"/>
              <w:jc w:val="left"/>
            </w:pPr>
            <w:r>
              <w:t xml:space="preserve">Materials Acquisition &amp; Processing</w:t>
            </w:r>
          </w:p>
        </w:tc>
        <w:tc>
          <w:tcPr/>
          <w:p>
            <w:pPr>
              <w:pStyle w:val="Compact"/>
              <w:jc w:val="left"/>
            </w:pPr>
            <w:r>
              <w:t xml:space="preserve">12.55</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0.7086</w:t>
            </w:r>
          </w:p>
        </w:tc>
      </w:tr>
      <w:tr>
        <w:tc>
          <w:tcPr>
            <w:gridSpan w:val="1"/>
            <w:vMerge w:val="continue"/>
          </w:tcPr>
          <w:p>
            <w:pPr/>
          </w:p>
        </w:tc>
        <w:tc>
          <w:tcPr/>
          <w:p>
            <w:pPr>
              <w:pStyle w:val="Compact"/>
              <w:jc w:val="left"/>
            </w:pPr>
            <w:r>
              <w:t xml:space="preserve">Use Phase</w:t>
            </w:r>
          </w:p>
        </w:tc>
        <w:tc>
          <w:tcPr/>
          <w:p>
            <w:pPr>
              <w:pStyle w:val="Compact"/>
              <w:jc w:val="left"/>
            </w:pPr>
            <w:r>
              <w:t xml:space="preserve">12.5</w:t>
            </w:r>
          </w:p>
        </w:tc>
      </w:tr>
      <w:tr>
        <w:tc>
          <w:tcPr>
            <w:gridSpan w:val="1"/>
            <w:vMerge w:val="continue"/>
          </w:tcPr>
          <w:p>
            <w:pPr/>
          </w:p>
        </w:tc>
        <w:tc>
          <w:tcPr/>
          <w:p>
            <w:pPr>
              <w:pStyle w:val="Compact"/>
              <w:jc w:val="left"/>
            </w:pPr>
            <w:r>
              <w:t xml:space="preserve">End-of-Life (Net)</w:t>
            </w:r>
          </w:p>
        </w:tc>
        <w:tc>
          <w:tcPr/>
          <w:p>
            <w:pPr>
              <w:pStyle w:val="Compact"/>
              <w:jc w:val="left"/>
            </w:pPr>
            <w:r>
              <w:t xml:space="preserve">-8.7956</w:t>
            </w:r>
          </w:p>
        </w:tc>
      </w:tr>
      <w:tr>
        <w:tc>
          <w:tcPr>
            <w:gridSpan w:val="2"/>
          </w:tcPr>
          <w:p>
            <w:pPr>
              <w:pStyle w:val="Compact"/>
              <w:jc w:val="left"/>
            </w:pPr>
            <w:r>
              <w:t xml:space="preserve">Total Product Carbon Footprint (PCF)</w:t>
            </w:r>
          </w:p>
        </w:tc>
        <w:tc>
          <w:tcPr/>
          <w:p>
            <w:pPr>
              <w:pStyle w:val="Compact"/>
              <w:jc w:val="left"/>
            </w:pPr>
            <w:r>
              <w:t xml:space="preserve">24.463 kg CO2e/unit</w:t>
            </w:r>
          </w:p>
        </w:tc>
      </w:tr>
    </w:tbl>
    <w:bookmarkStart w:id="47" w:name="lsr-update"/>
    <w:p>
      <w:pPr>
        <w:pStyle w:val="Heading4"/>
      </w:pPr>
      <w:r>
        <w:t xml:space="preserve">2026 LSR Update</w:t>
      </w:r>
    </w:p>
    <w:p>
      <w:pPr>
        <w:pStyle w:val="FirstParagraph"/>
      </w:pPr>
      <w:r>
        <w:t xml:space="preserve">This analysis acknowledges the 2026 Land Sector and Removals (LSR) Standard. While specific land-use changes directly attributable to</w:t>
      </w:r>
      <w:r>
        <w:t xml:space="preserve"> </w:t>
      </w:r>
      <w:r>
        <w:rPr>
          <w:bCs/>
          <w:b/>
        </w:rPr>
        <w:t xml:space="preserve">wlupjujrmn</w:t>
      </w:r>
      <w:r>
        <w:t xml:space="preserve">\'s production or value chain are not explicitly quantifiable with the given parameters, the principle of accounting for land-based emissions and removals is integrated into the broader GHG Protocol framework applied. Future iterations of this PCF may incorporate more granular LSR data if available.</w:t>
      </w:r>
    </w:p>
    <w:bookmarkEnd w:id="47"/>
    <w:bookmarkStart w:id="48" w:name="scope-3-compliance"/>
    <w:p>
      <w:pPr>
        <w:pStyle w:val="Heading4"/>
      </w:pPr>
      <w:r>
        <w:t xml:space="preserve">Scope 3 Compliance</w:t>
      </w:r>
    </w:p>
    <w:p>
      <w:pPr>
        <w:pStyle w:val="FirstParagraph"/>
      </w:pPr>
      <w:r>
        <w:t xml:space="preserve">This report ensures a robust analysis of Scope 3 emissions, striving for at least</w:t>
      </w:r>
      <w:r>
        <w:t xml:space="preserve"> </w:t>
      </w:r>
      <w:r>
        <w:rPr>
          <w:bCs/>
          <w:b/>
        </w:rPr>
        <w:t xml:space="preserve">95% coverage</w:t>
      </w:r>
      <w:r>
        <w:t xml:space="preserve"> </w:t>
      </w:r>
      <w:r>
        <w:t xml:space="preserve">as per 2026 requirements. The detailed breakdown across materials, transportation, use phase, and end-of-life aims to capture the vast majority of value chain impacts, providing a comprehensive view of the product\'s footprint.</w:t>
      </w:r>
    </w:p>
    <w:bookmarkEnd w:id="48"/>
    <w:bookmarkEnd w:id="49"/>
    <w:bookmarkEnd w:id="50"/>
    <w:p>
      <w:r>
        <w:pict>
          <v:rect style="width:0;height:1.5pt" o:hralign="center" o:hrstd="t" o:hr="t"/>
        </w:pict>
      </w:r>
    </w:p>
    <w:bookmarkStart w:id="53" w:name="review-report"/>
    <w:p>
      <w:pPr>
        <w:pStyle w:val="Heading2"/>
      </w:pPr>
      <w:r>
        <w:t xml:space="preserve">5. Review &amp; Report</w:t>
      </w:r>
    </w:p>
    <w:bookmarkStart w:id="51" w:name="emission-hotspots"/>
    <w:p>
      <w:pPr>
        <w:pStyle w:val="Heading3"/>
      </w:pPr>
      <w:r>
        <w:t xml:space="preserve">Emission Hotspots</w:t>
      </w:r>
    </w:p>
    <w:p>
      <w:pPr>
        <w:pStyle w:val="FirstParagraph"/>
      </w:pPr>
      <w:r>
        <w:t xml:space="preserve">The analysis identifies the following key emission hotspots for</w:t>
      </w:r>
      <w:r>
        <w:t xml:space="preserve"> </w:t>
      </w:r>
      <w:r>
        <w:rPr>
          <w:bCs/>
          <w:b/>
        </w:rPr>
        <w:t xml:space="preserve">wlupjujrmn</w:t>
      </w:r>
      <w:r>
        <w:t xml:space="preserve">:</w:t>
      </w:r>
    </w:p>
    <w:p>
      <w:pPr>
        <w:numPr>
          <w:ilvl w:val="0"/>
          <w:numId w:val="1010"/>
        </w:numPr>
        <w:pStyle w:val="Compact"/>
      </w:pPr>
      <w:r>
        <w:rPr>
          <w:bCs/>
          <w:b/>
        </w:rPr>
        <w:t xml:space="preserve">Materials Acquisition &amp; Processing:</w:t>
      </w:r>
      <w:r>
        <w:t xml:space="preserve"> </w:t>
      </w:r>
      <w:r>
        <w:t xml:space="preserve">Constitutes a significant portion of the upstream emissions due to the energy-intensive nature of producing components like metals and electronics. This represents the largest single contributor among the calculated Scope 3 categories.</w:t>
      </w:r>
    </w:p>
    <w:p>
      <w:pPr>
        <w:numPr>
          <w:ilvl w:val="0"/>
          <w:numId w:val="1010"/>
        </w:numPr>
        <w:pStyle w:val="Compact"/>
      </w:pPr>
      <w:r>
        <w:rPr>
          <w:bCs/>
          <w:b/>
        </w:rPr>
        <w:t xml:space="preserve">Use Phase:</w:t>
      </w:r>
      <w:r>
        <w:t xml:space="preserve"> </w:t>
      </w:r>
      <w:r>
        <w:t xml:space="preserve">The energy consumption during the product\'s 5-year lifespan contributes substantially to the overall footprint, highlighting the importance of energy efficiency in product design.</w:t>
      </w:r>
    </w:p>
    <w:p>
      <w:pPr>
        <w:numPr>
          <w:ilvl w:val="0"/>
          <w:numId w:val="1010"/>
        </w:numPr>
        <w:pStyle w:val="Compact"/>
      </w:pPr>
      <w:r>
        <w:rPr>
          <w:bCs/>
          <w:b/>
        </w:rPr>
        <w:t xml:space="preserve">Production Energy (Scope 2):</w:t>
      </w:r>
      <w:r>
        <w:t xml:space="preserve"> </w:t>
      </w:r>
      <w:r>
        <w:t xml:space="preserve">Despite 75% renewable energy usage, the remaining non-renewable electricity consumption in China still contributes noticeably to the PCF.</w:t>
      </w:r>
    </w:p>
    <w:p>
      <w:pPr>
        <w:numPr>
          <w:ilvl w:val="0"/>
          <w:numId w:val="1010"/>
        </w:numPr>
        <w:pStyle w:val="Compact"/>
      </w:pPr>
      <w:r>
        <w:rPr>
          <w:bCs/>
          <w:b/>
        </w:rPr>
        <w:t xml:space="preserve">End-of-Life (EoL):</w:t>
      </w:r>
      <w:r>
        <w:t xml:space="preserve"> </w:t>
      </w:r>
      <w:r>
        <w:t xml:space="preserve">While significant credits are achieved through high recyclability and circular programs, the non-recycled portion still contributes to emissions. Optimizing EoL processes and maximizing material circularity remain crucial.</w:t>
      </w:r>
    </w:p>
    <w:bookmarkEnd w:id="51"/>
    <w:bookmarkStart w:id="52" w:name="reliability"/>
    <w:p>
      <w:pPr>
        <w:pStyle w:val="Heading3"/>
      </w:pPr>
      <w:r>
        <w:t xml:space="preserve">Reliability</w:t>
      </w:r>
    </w:p>
    <w:p>
      <w:pPr>
        <w:pStyle w:val="FirstParagraph"/>
      </w:pPr>
      <w:r>
        <w:t xml:space="preserve">The reliability of this PCF analysis is considered high, given the adherence to the GHG Protocol, the use of a detailed Bill of Materials, and the incorporation of specific operational and logistics data. Industry-standard emission factors (e.g., from recognized databases like those referenced by Ecoinvent/DEFRA equivalents) have been applied where primary data was unavailable, with assumptions explicitly stated. Continuous efforts to gather more granular primary data across the supply chain would further enhance accuracy.</w:t>
      </w:r>
    </w:p>
    <w:bookmarkEnd w:id="52"/>
    <w:bookmarkEnd w:id="5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wlupjujrmn</dc:title>
  <dc:creator/>
  <dc:description>Detailed Product Carbon Footprint (PCF) analysis report for wlupjujrmn, prepared by xmqqtmdnkv, Senior Sustainability Consultant for gudlefigeu, adhering to GHG Protocol standards and 2026 LSR Update.</dc:description>
  <dc:language>en</dc:language>
  <cp:keywords/>
  <dcterms:created xsi:type="dcterms:W3CDTF">2026-07-14T23:51:40Z</dcterms:created>
  <dcterms:modified xsi:type="dcterms:W3CDTF">2026-07-14T23:51:40Z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