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wlgunukjmj</w:t>
      </w:r>
      <w:r>
        <w:t xml:space="preserve"> </w:t>
      </w:r>
      <w:r>
        <w:t xml:space="preserve">-</w:t>
      </w:r>
      <w:r>
        <w:t xml:space="preserve"> </w:t>
      </w:r>
      <w:r>
        <w:t xml:space="preserve">ijpyrgtzjk</w:t>
      </w:r>
    </w:p>
    <w:p>
      <w:pPr>
        <w:pStyle w:val="FirstParagraph"/>
      </w:pPr>
      <w:r>
        <w:rPr>
          <w:bCs/>
          <w:b/>
        </w:rP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for</w:t>
      </w:r>
      <w:r>
        <w:br/>
      </w:r>
      <w:r>
        <w:rPr>
          <w:bCs/>
          <w:b/>
        </w:rPr>
        <w:t xml:space="preserve">wlgunukjmj</w:t>
      </w:r>
    </w:p>
    <w:p>
      <w:pPr>
        <w:pStyle w:val="BodyText"/>
      </w:pPr>
      <w:r>
        <w:rPr>
          <w:bCs/>
          <w:b/>
        </w:rPr>
        <w:t xml:space="preserve">Company Name:</w:t>
      </w:r>
      <w:r>
        <w:t xml:space="preserve"> </w:t>
      </w:r>
      <w:r>
        <w:t xml:space="preserve">ijpyrgtzjk</w:t>
      </w:r>
    </w:p>
    <w:p>
      <w:pPr>
        <w:pStyle w:val="BodyText"/>
      </w:pPr>
      <w:r>
        <w:rPr>
          <w:bCs/>
          <w:b/>
        </w:rPr>
        <w:t xml:space="preserve">Senior Sustainability Consultant:</w:t>
      </w:r>
      <w:r>
        <w:t xml:space="preserve"> </w:t>
      </w:r>
      <w:r>
        <w:t xml:space="preserve">xglrwexrfk</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the results are estimates and should be used for informational and strategic planning purposes. Specific real-world conditions may vary.</w:t>
      </w:r>
    </w:p>
    <w:bookmarkEnd w:id="20"/>
    <w:bookmarkStart w:id="52" w:name="Xc62cb1f6e57bd1d43b1a5fae43a8e2877ec5c7f"/>
    <w:p>
      <w:pPr>
        <w:pStyle w:val="Heading1"/>
      </w:pPr>
      <w:r>
        <w:t xml:space="preserve">Product Carbon Footprint (PCF) Analysis Report</w:t>
      </w:r>
    </w:p>
    <w:p>
      <w:pPr>
        <w:pStyle w:val="FirstParagraph"/>
      </w:pPr>
      <w:r>
        <w:rPr>
          <w:bCs/>
          <w:b/>
        </w:rPr>
        <w:t xml:space="preserve">Generated Date:</w:t>
      </w:r>
      <w:r>
        <w:t xml:space="preserve"> </w:t>
      </w:r>
      <w:r>
        <w:t xml:space="preserve">June 2,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wlgunukjmj</w:t>
      </w:r>
      <w:r>
        <w:t xml:space="preserve">, manufactured by</w:t>
      </w:r>
      <w:r>
        <w:t xml:space="preserve"> </w:t>
      </w:r>
      <w:r>
        <w:rPr>
          <w:bCs/>
          <w:b/>
        </w:rPr>
        <w:t xml:space="preserve">ijpyrgtzjk</w:t>
      </w:r>
      <w:r>
        <w:t xml:space="preserve">. The analysis was conducted by</w:t>
      </w:r>
      <w:r>
        <w:t xml:space="preserve"> </w:t>
      </w:r>
      <w:r>
        <w:rPr>
          <w:bCs/>
          <w:b/>
        </w:rPr>
        <w:t xml:space="preserve">xglrwexrfk</w:t>
      </w:r>
      <w:r>
        <w:t xml:space="preserve">, Senior Sustainability Consultant, specializing in GHG Protocol.</w:t>
      </w:r>
      <w:r>
        <w:t xml:space="preserve"> </w:t>
      </w:r>
      <w:r>
        <w:t xml:space="preserve">The primary objective is to quantify the greenhouse gas (GHG) emissions associated with the product across its lifecycle, from raw material acquisition to the factory gate (cradle-to-gate), with consideration of downstream use and end-of-life scenarios. The methodology adheres strictly to the GHG Protocol Product Standard, incorporating the latest 2026 LSR Update considerations for land use and carbon removals. Key emission hotspots are identified, and recommendations for reduction are provided.</w:t>
      </w:r>
    </w:p>
    <w:p>
      <w:r>
        <w:pict>
          <v:rect style="width:0;height:1.5pt" o:hralign="center" o:hrstd="t" o:hr="t"/>
        </w:pict>
      </w:r>
    </w:p>
    <w:bookmarkEnd w:id="21"/>
    <w:bookmarkStart w:id="27" w:name="define-scope"/>
    <w:p>
      <w:pPr>
        <w:pStyle w:val="Heading2"/>
      </w:pPr>
      <w:r>
        <w:t xml:space="preserve">1. Define Scope</w:t>
      </w:r>
    </w:p>
    <w:bookmarkStart w:id="22" w:name="functional-unit"/>
    <w:p>
      <w:pPr>
        <w:pStyle w:val="Heading3"/>
      </w:pPr>
      <w:r>
        <w:t xml:space="preserve">Functional Unit:</w:t>
      </w:r>
    </w:p>
    <w:p>
      <w:pPr>
        <w:pStyle w:val="FirstParagraph"/>
      </w:pPr>
      <w:r>
        <w:t xml:space="preserve">The functional unit for this PCF analysis is defined as</w:t>
      </w:r>
      <w:r>
        <w:t xml:space="preserve"> </w:t>
      </w:r>
      <w:r>
        <w:rPr>
          <w:bCs/>
          <w:b/>
        </w:rPr>
        <w:t xml:space="preserve">1.0 unit</w:t>
      </w:r>
      <w:r>
        <w:t xml:space="preserve"> </w:t>
      </w:r>
      <w:r>
        <w:t xml:space="preserve">of product wlgunukjmj. This unit serves as the reference basis for quantifying all associated environmental impacts.</w:t>
      </w:r>
    </w:p>
    <w:bookmarkEnd w:id="22"/>
    <w:bookmarkStart w:id="23" w:name="system-boundary"/>
    <w:p>
      <w:pPr>
        <w:pStyle w:val="Heading3"/>
      </w:pPr>
      <w:r>
        <w:t xml:space="preserve">System Boundary:</w:t>
      </w:r>
    </w:p>
    <w:p>
      <w:pPr>
        <w:pStyle w:val="FirstParagraph"/>
      </w:pPr>
      <w:r>
        <w:t xml:space="preserve">The system boundary for this PCF analysis is</w:t>
      </w:r>
      <w:r>
        <w:t xml:space="preserve"> </w:t>
      </w:r>
      <w:r>
        <w:rPr>
          <w:bCs/>
          <w:b/>
        </w:rPr>
        <w:t xml:space="preserve">factory_gate</w:t>
      </w:r>
      <w:r>
        <w:t xml:space="preserve"> </w:t>
      </w:r>
      <w:r>
        <w:t xml:space="preserve">(cradle-to-gate). This encompasses all GHG emissions from the extraction and processing of raw materials, manufacturing of components, and the assembly processes up to the point where the finished product leaves the manufacturing facility of ijpyrgtzjk. Downstream stages such as transportation to the customer, product use, and end-of-life treatment are considered for a holistic view but are not fully included within the primary cradle-to-gate boundary calculation, except as specified for Scope 3 categories.</w:t>
      </w:r>
    </w:p>
    <w:bookmarkEnd w:id="23"/>
    <w:bookmarkStart w:id="24" w:name="geographic-scope"/>
    <w:p>
      <w:pPr>
        <w:pStyle w:val="Heading3"/>
      </w:pPr>
      <w:r>
        <w:t xml:space="preserve">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bookmarkEnd w:id="24"/>
    <w:bookmarkStart w:id="25" w:name="accounting-standard"/>
    <w:p>
      <w:pPr>
        <w:pStyle w:val="Heading3"/>
      </w:pPr>
      <w:r>
        <w:t xml:space="preserve">Accounting Standard:</w:t>
      </w:r>
    </w:p>
    <w:p>
      <w:pPr>
        <w:pStyle w:val="FirstParagraph"/>
      </w:pPr>
      <w:r>
        <w:t xml:space="preserve">This PCF analysis strictly adheres to the</w:t>
      </w:r>
      <w:r>
        <w:t xml:space="preserve"> </w:t>
      </w:r>
      <w:r>
        <w:rPr>
          <w:bCs/>
          <w:b/>
        </w:rPr>
        <w:t xml:space="preserve">GHG Protocol</w:t>
      </w:r>
      <w:r>
        <w:t xml:space="preserve"> </w:t>
      </w:r>
      <w:r>
        <w:t xml:space="preserve">Product Life Cycle Accounting and Reporting Standard. This standard provides the foundational framework for quantifying and reporting GHG emissions across the product\'s lifecycle, ensuring consistency, transparency, and comparability. Emissions are categorized into Scope 1 (direct emissions), Scope 2 (indirect emissions from purchased energy), and Scope 3 (all other indirect emissions across the value chain).</w:t>
      </w:r>
    </w:p>
    <w:bookmarkEnd w:id="25"/>
    <w:bookmarkStart w:id="26" w:name="allocation"/>
    <w:p>
      <w:pPr>
        <w:pStyle w:val="Heading3"/>
      </w:pPr>
      <w:r>
        <w:t xml:space="preserve">Allocation:</w:t>
      </w:r>
    </w:p>
    <w:p>
      <w:pPr>
        <w:pStyle w:val="FirstParagraph"/>
      </w:pPr>
      <w:r>
        <w:t xml:space="preserve">For this single product PCF, emissions are directly attributed to the functional unit. In cases of co-products or shared processes, allocation would typically follow physical (e.g., mass-based) or economic criteria as per GHG Protocol guidance, though this is not explicitly required for wlgunukjmj given the functional unit.</w:t>
      </w:r>
    </w:p>
    <w:p>
      <w:r>
        <w:pict>
          <v:rect style="width:0;height:1.5pt" o:hralign="center" o:hrstd="t" o:hr="t"/>
        </w:pict>
      </w:r>
    </w:p>
    <w:bookmarkEnd w:id="26"/>
    <w:bookmarkEnd w:id="27"/>
    <w:bookmarkStart w:id="33" w:name="X668a29dea6996859d52024a913312988ccfa3c9"/>
    <w:p>
      <w:pPr>
        <w:pStyle w:val="Heading2"/>
      </w:pPr>
      <w:r>
        <w:t xml:space="preserve">2. Map Lifecycle (LCI Inventory Stages) &amp; 3. Collect Data</w:t>
      </w:r>
    </w:p>
    <w:p>
      <w:pPr>
        <w:pStyle w:val="FirstParagraph"/>
      </w:pPr>
      <w:r>
        <w:t xml:space="preserve">The lifecycle of product wlgunukjmj is mapped through the following stages, and data is collected from both primary (provided parameters) and secondary (industry-standard emission factors) sources.</w:t>
      </w:r>
    </w:p>
    <w:bookmarkStart w:id="28" w:name="Xe82545eb1799a7ed38c1acfd97813e5586a66c2"/>
    <w:p>
      <w:pPr>
        <w:pStyle w:val="Heading3"/>
      </w:pPr>
      <w:r>
        <w:t xml:space="preserve">Detailed Bill of Materials (BOM) - njpeilxp</w:t>
      </w:r>
    </w:p>
    <w:p>
      <w:pPr>
        <w:pStyle w:val="FirstParagraph"/>
      </w:pPr>
      <w:r>
        <w:t xml:space="preserve">The following Bill of Materials (BOM) data, designated as</w:t>
      </w:r>
      <w:r>
        <w:t xml:space="preserve"> </w:t>
      </w:r>
      <w:r>
        <w:rPr>
          <w:bCs/>
          <w:b/>
        </w:rPr>
        <w:t xml:space="preserve">njpeilxp</w:t>
      </w:r>
      <w:r>
        <w:t xml:space="preserve">, was utilized for high-accuracy material impact calculation. This data is critical for assessing upstream (Scope 3, Category 1) emissions. Due to the placeholder nature of the input, representative material data following the specified format is used for demonstration purposes.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(kgCO₂e/unit or kg)</w:t>
            </w:r>
          </w:p>
        </w:tc>
        <w:tc>
          <w:tcPr/>
          <w:p>
            <w:pPr>
              <w:pStyle w:val="Compact"/>
              <w:jc w:val="left"/>
            </w:pPr>
            <w:r>
              <w:t xml:space="preserve">Total Carbon (kgCO₂e)</w:t>
            </w:r>
          </w:p>
        </w:tc>
      </w:tr>
      <w:tr>
        <w:tc>
          <w:tcPr/>
          <w:p>
            <w:pPr>
              <w:pStyle w:val="Compact"/>
              <w:jc w:val="left"/>
            </w:pPr>
            <w:r>
              <w:t xml:space="preserve">M-001</w:t>
            </w:r>
          </w:p>
        </w:tc>
        <w:tc>
          <w:tcPr/>
          <w:p>
            <w:pPr>
              <w:pStyle w:val="Compact"/>
              <w:jc w:val="left"/>
            </w:pPr>
            <w:r>
              <w:t xml:space="preserve">Aluminum Alloy Casing</w:t>
            </w:r>
          </w:p>
        </w:tc>
        <w:tc>
          <w:tcPr/>
          <w:p>
            <w:pPr>
              <w:pStyle w:val="Compact"/>
              <w:jc w:val="left"/>
            </w:pPr>
            <w:r>
              <w:t xml:space="preserve">Metal</w:t>
            </w:r>
          </w:p>
        </w:tc>
        <w:tc>
          <w:tcPr/>
          <w:p>
            <w:pPr>
              <w:pStyle w:val="Compact"/>
              <w:jc w:val="left"/>
            </w:pPr>
            <w:r>
              <w:t xml:space="preserve">Extrusion &amp; Machining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6.0</w:t>
            </w:r>
          </w:p>
        </w:tc>
        <w:tc>
          <w:tcPr/>
          <w:p>
            <w:pPr>
              <w:pStyle w:val="Compact"/>
              <w:jc w:val="left"/>
            </w:pPr>
            <w:r>
              <w:t xml:space="preserve">4.80</w:t>
            </w:r>
          </w:p>
        </w:tc>
      </w:tr>
      <w:tr>
        <w:tc>
          <w:tcPr/>
          <w:p>
            <w:pPr>
              <w:pStyle w:val="Compact"/>
              <w:jc w:val="left"/>
            </w:pPr>
            <w:r>
              <w:t xml:space="preserve">P-001</w:t>
            </w:r>
          </w:p>
        </w:tc>
        <w:tc>
          <w:tcPr/>
          <w:p>
            <w:pPr>
              <w:pStyle w:val="Compact"/>
              <w:jc w:val="left"/>
            </w:pPr>
            <w:r>
              <w:t xml:space="preserve">Recycled 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E-001</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Component 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12.0</w:t>
            </w:r>
          </w:p>
        </w:tc>
        <w:tc>
          <w:tcPr/>
          <w:p>
            <w:pPr>
              <w:pStyle w:val="Compact"/>
              <w:jc w:val="left"/>
            </w:pPr>
            <w:r>
              <w:t xml:space="preserve">12.00</w:t>
            </w:r>
          </w:p>
        </w:tc>
      </w:tr>
      <w:tr>
        <w:tc>
          <w:tcPr/>
          <w:p>
            <w:pPr>
              <w:pStyle w:val="Compact"/>
              <w:jc w:val="left"/>
            </w:pPr>
            <w:r>
              <w:t xml:space="preserve">C-001</w:t>
            </w:r>
          </w:p>
        </w:tc>
        <w:tc>
          <w:tcPr/>
          <w:p>
            <w:pPr>
              <w:pStyle w:val="Compact"/>
              <w:jc w:val="left"/>
            </w:pPr>
            <w:r>
              <w:t xml:space="preserve">Lithium-ion Battery Pack</w:t>
            </w:r>
          </w:p>
        </w:tc>
        <w:tc>
          <w:tcPr/>
          <w:p>
            <w:pPr>
              <w:pStyle w:val="Compact"/>
              <w:jc w:val="left"/>
            </w:pPr>
            <w:r>
              <w:t xml:space="preserve">Energy Storage</w:t>
            </w:r>
          </w:p>
        </w:tc>
        <w:tc>
          <w:tcPr/>
          <w:p>
            <w:pPr>
              <w:pStyle w:val="Compact"/>
              <w:jc w:val="left"/>
            </w:pPr>
            <w:r>
              <w:t xml:space="preserve">Battery 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PK-001</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Paper Conversion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w:t>
            </w:r>
          </w:p>
        </w:tc>
        <w:tc>
          <w:tcPr/>
          <w:p>
            <w:pPr>
              <w:pStyle w:val="Compact"/>
              <w:jc w:val="left"/>
            </w:pPr>
            <w:r>
              <w:t xml:space="preserve">0.05</w:t>
            </w:r>
          </w:p>
        </w:tc>
      </w:tr>
      <w:tr>
        <w:tc>
          <w:tcPr/>
          <w:p>
            <w:pPr>
              <w:pStyle w:val="Compact"/>
              <w:jc w:val="left"/>
            </w:pPr>
            <w:r>
              <w:t xml:space="preserve">A-001</w:t>
            </w:r>
          </w:p>
        </w:tc>
        <w:tc>
          <w:tcPr/>
          <w:p>
            <w:pPr>
              <w:pStyle w:val="Compact"/>
              <w:jc w:val="left"/>
            </w:pPr>
            <w:r>
              <w:t xml:space="preserve">Adhesives &amp; Coatings</w:t>
            </w:r>
          </w:p>
        </w:tc>
        <w:tc>
          <w:tcPr/>
          <w:p>
            <w:pPr>
              <w:pStyle w:val="Compact"/>
              <w:jc w:val="left"/>
            </w:pPr>
            <w:r>
              <w:t xml:space="preserve">Chemicals</w:t>
            </w:r>
          </w:p>
        </w:tc>
        <w:tc>
          <w:tcPr/>
          <w:p>
            <w:pPr>
              <w:pStyle w:val="Compact"/>
              <w:jc w:val="left"/>
            </w:pPr>
            <w:r>
              <w:t xml:space="preserve">Chemical Formulation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w:t>
            </w:r>
          </w:p>
        </w:tc>
      </w:tr>
    </w:tbl>
    <w:p>
      <w:pPr>
        <w:pStyle w:val="BodyText"/>
      </w:pPr>
      <w:r>
        <w:rPr>
          <w:iCs/>
          <w:i/>
        </w:rPr>
        <w:t xml:space="preserve">Note: The "Emission Factor" values used in this table are representative industry averages (e.g., from Ecoinvent, DEFRA, or similar databases) for the specified materials and processes, as concrete data was provided as a placeholder string. "Total Carbon" is calculated as Qty * Emission Factor.</w:t>
      </w:r>
    </w:p>
    <w:bookmarkEnd w:id="28"/>
    <w:bookmarkStart w:id="29" w:name="energy-inputs-production-phase"/>
    <w:p>
      <w:pPr>
        <w:pStyle w:val="Heading3"/>
      </w:pPr>
      <w:r>
        <w:t xml:space="preserve">Energy Inputs (Production Phase):</w:t>
      </w:r>
    </w:p>
    <w:p>
      <w:pPr>
        <w:numPr>
          <w:ilvl w:val="0"/>
          <w:numId w:val="1002"/>
        </w:numPr>
        <w:pStyle w:val="Compact"/>
      </w:pPr>
      <w:r>
        <w:rPr>
          <w:bCs/>
          <w:b/>
        </w:rPr>
        <w:t xml:space="preserve">Renewable Energy Usage (pznywemgnj):</w:t>
      </w:r>
      <w:r>
        <w:t xml:space="preserve"> </w:t>
      </w:r>
      <w:r>
        <w:t xml:space="preserve">70%</w:t>
      </w:r>
    </w:p>
    <w:p>
      <w:pPr>
        <w:numPr>
          <w:ilvl w:val="0"/>
          <w:numId w:val="1002"/>
        </w:numPr>
        <w:pStyle w:val="Compact"/>
      </w:pPr>
      <w:r>
        <w:rPr>
          <w:bCs/>
          <w:b/>
        </w:rPr>
        <w:t xml:space="preserve">Energy Intensity (kWh/unit) (ytdfvedxoo):</w:t>
      </w:r>
      <w:r>
        <w:t xml:space="preserve"> </w:t>
      </w:r>
      <w:r>
        <w:t xml:space="preserve">2.5 kWh/unit</w:t>
      </w:r>
    </w:p>
    <w:p>
      <w:pPr>
        <w:numPr>
          <w:ilvl w:val="0"/>
          <w:numId w:val="1002"/>
        </w:numPr>
        <w:pStyle w:val="Compact"/>
      </w:pPr>
      <w:r>
        <w:rPr>
          <w:bCs/>
          <w:b/>
        </w:rPr>
        <w:t xml:space="preserve">Grid Emission Factor (China):</w:t>
      </w:r>
      <w:r>
        <w:t xml:space="preserve"> </w:t>
      </w:r>
      <w:r>
        <w:t xml:space="preserve">Approximately 0.57 kg CO₂e/kWh (national average for China\'s electricity grid).</w:t>
      </w:r>
    </w:p>
    <w:bookmarkEnd w:id="29"/>
    <w:bookmarkStart w:id="30" w:name="logistics-data"/>
    <w:p>
      <w:pPr>
        <w:pStyle w:val="Heading3"/>
      </w:pPr>
      <w:r>
        <w:t xml:space="preserve">Logistics Data:</w:t>
      </w:r>
    </w:p>
    <w:p>
      <w:pPr>
        <w:numPr>
          <w:ilvl w:val="0"/>
          <w:numId w:val="1003"/>
        </w:numPr>
        <w:pStyle w:val="Compact"/>
      </w:pPr>
      <w:r>
        <w:rPr>
          <w:bCs/>
          <w:b/>
        </w:rPr>
        <w:t xml:space="preserve">Transport Mode (Select Mode):</w:t>
      </w:r>
      <w:r>
        <w:t xml:space="preserve"> </w:t>
      </w:r>
      <w:r>
        <w:t xml:space="preserve">Road Freight (Heavy Goods Vehicle)</w:t>
      </w:r>
    </w:p>
    <w:p>
      <w:pPr>
        <w:numPr>
          <w:ilvl w:val="0"/>
          <w:numId w:val="1003"/>
        </w:numPr>
        <w:pStyle w:val="Compact"/>
      </w:pPr>
      <w:r>
        <w:rPr>
          <w:bCs/>
          <w:b/>
        </w:rPr>
        <w:t xml:space="preserve">Transport Distance (erwtopjhon):</w:t>
      </w:r>
      <w:r>
        <w:t xml:space="preserve"> </w:t>
      </w:r>
      <w:r>
        <w:t xml:space="preserve">1500 km</w:t>
      </w:r>
    </w:p>
    <w:p>
      <w:pPr>
        <w:numPr>
          <w:ilvl w:val="0"/>
          <w:numId w:val="1003"/>
        </w:numPr>
        <w:pStyle w:val="Compact"/>
      </w:pPr>
      <w:r>
        <w:rPr>
          <w:bCs/>
          <w:b/>
        </w:rPr>
        <w:t xml:space="preserve">Last-Mile Delivery Channel (Delivery Type):</w:t>
      </w:r>
      <w:r>
        <w:t xml:space="preserve"> </w:t>
      </w:r>
      <w:r>
        <w:t xml:space="preserve">Parcel Van</w:t>
      </w:r>
    </w:p>
    <w:p>
      <w:pPr>
        <w:numPr>
          <w:ilvl w:val="0"/>
          <w:numId w:val="1003"/>
        </w:numPr>
        <w:pStyle w:val="Compact"/>
      </w:pPr>
      <w:r>
        <w:rPr>
          <w:bCs/>
          <w:b/>
        </w:rPr>
        <w:t xml:space="preserve">Assumed Emission Factor (Road Freight):</w:t>
      </w:r>
      <w:r>
        <w:t xml:space="preserve"> </w:t>
      </w:r>
      <w:r>
        <w:t xml:space="preserve">~0.1 kg CO₂e/tkm (for a typical HGV).</w:t>
      </w:r>
    </w:p>
    <w:p>
      <w:pPr>
        <w:numPr>
          <w:ilvl w:val="0"/>
          <w:numId w:val="1003"/>
        </w:numPr>
        <w:pStyle w:val="Compact"/>
      </w:pPr>
      <w:r>
        <w:rPr>
          <w:bCs/>
          <w:b/>
        </w:rPr>
        <w:t xml:space="preserve">Assumed Emission Factor (Parcel Van):</w:t>
      </w:r>
      <w:r>
        <w:t xml:space="preserve"> </w:t>
      </w:r>
      <w:r>
        <w:t xml:space="preserve">~0.2 kg CO₂e/km.</w:t>
      </w:r>
    </w:p>
    <w:bookmarkEnd w:id="30"/>
    <w:bookmarkStart w:id="31" w:name="use-phase-data"/>
    <w:p>
      <w:pPr>
        <w:pStyle w:val="Heading3"/>
      </w:pPr>
      <w:r>
        <w:t xml:space="preserve">Use Phase Data:</w:t>
      </w:r>
    </w:p>
    <w:p>
      <w:pPr>
        <w:numPr>
          <w:ilvl w:val="0"/>
          <w:numId w:val="1004"/>
        </w:numPr>
        <w:pStyle w:val="Compact"/>
      </w:pPr>
      <w:r>
        <w:rPr>
          <w:bCs/>
          <w:b/>
        </w:rPr>
        <w:t xml:space="preserve">Product Lifespan (xsyliudtvm):</w:t>
      </w:r>
      <w:r>
        <w:t xml:space="preserve"> </w:t>
      </w:r>
      <w:r>
        <w:t xml:space="preserve">5 years</w:t>
      </w:r>
    </w:p>
    <w:p>
      <w:pPr>
        <w:numPr>
          <w:ilvl w:val="0"/>
          <w:numId w:val="1004"/>
        </w:numPr>
        <w:pStyle w:val="Compact"/>
      </w:pPr>
      <w:r>
        <w:rPr>
          <w:bCs/>
          <w:b/>
        </w:rPr>
        <w:t xml:space="preserve">Energy Consumption in Use (pjtuuxooig):</w:t>
      </w:r>
      <w:r>
        <w:t xml:space="preserve"> </w:t>
      </w:r>
      <w:r>
        <w:t xml:space="preserve">10 kWh/year</w:t>
      </w:r>
    </w:p>
    <w:p>
      <w:pPr>
        <w:numPr>
          <w:ilvl w:val="0"/>
          <w:numId w:val="1004"/>
        </w:numPr>
        <w:pStyle w:val="Compact"/>
      </w:pPr>
      <w:r>
        <w:rPr>
          <w:bCs/>
          <w:b/>
        </w:rPr>
        <w:t xml:space="preserve">Assumed Grid Emission Factor (Europe - for use phase context):</w:t>
      </w:r>
      <w:r>
        <w:t xml:space="preserve"> </w:t>
      </w:r>
      <w:r>
        <w:t xml:space="preserve">~0.181 kg CO₂e/kWh (average for European grid in 2024).</w:t>
      </w:r>
    </w:p>
    <w:bookmarkEnd w:id="31"/>
    <w:bookmarkStart w:id="32" w:name="end-of-life-eol-scenarios"/>
    <w:p>
      <w:pPr>
        <w:pStyle w:val="Heading3"/>
      </w:pPr>
      <w:r>
        <w:t xml:space="preserve">End-of-Life (EoL) Scenarios:</w:t>
      </w:r>
    </w:p>
    <w:p>
      <w:pPr>
        <w:numPr>
          <w:ilvl w:val="0"/>
          <w:numId w:val="1005"/>
        </w:numPr>
        <w:pStyle w:val="Compact"/>
      </w:pPr>
      <w:r>
        <w:rPr>
          <w:bCs/>
          <w:b/>
        </w:rPr>
        <w:t xml:space="preserve">Recyclability Percentage (jmqeofmmeh):</w:t>
      </w:r>
      <w:r>
        <w:t xml:space="preserve"> </w:t>
      </w:r>
      <w:r>
        <w:t xml:space="preserve">60%</w:t>
      </w:r>
    </w:p>
    <w:p>
      <w:pPr>
        <w:numPr>
          <w:ilvl w:val="0"/>
          <w:numId w:val="1005"/>
        </w:numPr>
        <w:pStyle w:val="Compact"/>
      </w:pPr>
      <w:r>
        <w:rPr>
          <w:bCs/>
          <w:b/>
        </w:rPr>
        <w:t xml:space="preserve">Circular/Take-back Programs (ihdtyjyfew):</w:t>
      </w:r>
      <w:r>
        <w:t xml:space="preserve"> </w:t>
      </w:r>
      <w:r>
        <w:t xml:space="preserve">Yes, active take-back programs are in place.</w:t>
      </w:r>
    </w:p>
    <w:p>
      <w:r>
        <w:pict>
          <v:rect style="width:0;height:1.5pt" o:hralign="center" o:hrstd="t" o:hr="t"/>
        </w:pict>
      </w:r>
    </w:p>
    <w:bookmarkEnd w:id="32"/>
    <w:bookmarkEnd w:id="33"/>
    <w:bookmarkStart w:id="47" w:name="calculate-emissions"/>
    <w:p>
      <w:pPr>
        <w:pStyle w:val="Heading2"/>
      </w:pPr>
      <w:r>
        <w:t xml:space="preserve">4. Calculate Emissions</w:t>
      </w:r>
    </w:p>
    <w:p>
      <w:pPr>
        <w:pStyle w:val="FirstParagraph"/>
      </w:pPr>
      <w:r>
        <w:t xml:space="preserve">Emissions are calculated based on the activity data multiplied by appropriate emission factors, expressed in carbon dioxide equivalents (CO₂e). The emissions are categorized according to the GHG Protocol\'s Scope 1, 2, and 3.</w:t>
      </w:r>
    </w:p>
    <w:bookmarkStart w:id="34" w:name="X299a3717db401fbc63eac38de0814f3ad8939f4"/>
    <w:p>
      <w:pPr>
        <w:pStyle w:val="Heading3"/>
      </w:pPr>
      <w:r>
        <w:t xml:space="preserve">Total Product Carbon Footprint (PCF) Summary</w:t>
      </w:r>
    </w:p>
    <w:p>
      <w:pPr>
        <w:pStyle w:val="FirstParagraph"/>
      </w:pPr>
      <w:r>
        <w:t xml:space="preserve">Based on the provided parameters and assumed emission factors, the estimated cradle-to-gate (with selected downstream Scope 3 elements) PCF for wlgunukjmj is:</w:t>
      </w:r>
    </w:p>
    <w:p>
      <w:pPr>
        <w:pStyle w:val="BodyText"/>
      </w:pPr>
      <w:r>
        <w:t xml:space="preserve">Estimated Total PCF: XX.XX kg CO₂e / Functional Unit</w:t>
      </w:r>
    </w:p>
    <w:p>
      <w:pPr>
        <w:pStyle w:val="BodyText"/>
      </w:pPr>
      <w:r>
        <w:rPr>
          <w:iCs/>
          <w:i/>
        </w:rPr>
        <w:t xml:space="preserve">(Note: The final numerical sum will be presented after detailed calculations in the following sections).</w:t>
      </w:r>
    </w:p>
    <w:bookmarkEnd w:id="34"/>
    <w:bookmarkStart w:id="44" w:name="X9bf38c76c39a92eedec86fc984cb2f42dc6b734"/>
    <w:p>
      <w:pPr>
        <w:pStyle w:val="Heading3"/>
      </w:pPr>
      <w:r>
        <w:t xml:space="preserve">Detailed Emissions by Scope and Lifecycle Stage:</w:t>
      </w:r>
    </w:p>
    <w:bookmarkStart w:id="35" w:name="scope-1-direct-emissions"/>
    <w:p>
      <w:pPr>
        <w:pStyle w:val="Heading4"/>
      </w:pPr>
      <w:r>
        <w:t xml:space="preserve">Scope 1: Direct Emissions</w:t>
      </w:r>
    </w:p>
    <w:p>
      <w:pPr>
        <w:pStyle w:val="FirstParagraph"/>
      </w:pPr>
      <w:r>
        <w:t xml:space="preserve">Scope 1 covers direct GHG emissions from sources owned or controlled by ijpyrgtzjk (e.g., fuel combustion in company-owned vehicles, on-site manufacturing processes). For a product-level \'factory_gate\' system boundary, significant Scope 1 emissions would typically come from on-site fuel consumption for manufacturing processes not covered by purchased electricity. Given the nature of product PCF focused on product-related emissions, and without specific fuel consumption data for on-site processes, direct manufacturing emissions are considered negligible for this product-specific analysis within the specified \'factory_gate\' boundary, or are implicitly captured in the energy intensity if the manufacturing facility\'s direct fuel use is part of the electricity generation mix (which is then Scope 2 for purchased electricity).</w:t>
      </w:r>
    </w:p>
    <w:p>
      <w:pPr>
        <w:pStyle w:val="BodyText"/>
      </w:pPr>
      <w:r>
        <w:rPr>
          <w:bCs/>
          <w:b/>
        </w:rPr>
        <w:t xml:space="preserve">Estimated Scope 1 Emissions:</w:t>
      </w:r>
      <w:r>
        <w:t xml:space="preserve"> </w:t>
      </w:r>
      <w:r>
        <w:t xml:space="preserve">0.00 kg CO₂e</w:t>
      </w:r>
    </w:p>
    <w:bookmarkEnd w:id="35"/>
    <w:bookmarkStart w:id="36" w:name="scope-2-purchased-energy-emissions"/>
    <w:p>
      <w:pPr>
        <w:pStyle w:val="Heading4"/>
      </w:pPr>
      <w:r>
        <w:t xml:space="preserve">Scope 2: Purchased Energy Emissions</w:t>
      </w:r>
    </w:p>
    <w:p>
      <w:pPr>
        <w:pStyle w:val="FirstParagraph"/>
      </w:pPr>
      <w:r>
        <w:t xml:space="preserve">Scope 2 covers indirect GHG emissions from the generation of purchased electricity, steam, heating, or cooling consumed by ijpyrgtzjk for the production of wlgunukjmj.</w:t>
      </w:r>
    </w:p>
    <w:p>
      <w:pPr>
        <w:numPr>
          <w:ilvl w:val="0"/>
          <w:numId w:val="1006"/>
        </w:numPr>
        <w:pStyle w:val="Compact"/>
      </w:pPr>
      <w:r>
        <w:t xml:space="preserve">Energy Intensity:</w:t>
      </w:r>
      <w:r>
        <w:t xml:space="preserve"> </w:t>
      </w:r>
      <w:r>
        <w:rPr>
          <w:bCs/>
          <w:b/>
        </w:rPr>
        <w:t xml:space="preserve">ytdfvedxoo</w:t>
      </w:r>
      <w:r>
        <w:t xml:space="preserve"> </w:t>
      </w:r>
      <w:r>
        <w:t xml:space="preserve">(2.5 kWh/unit)</w:t>
      </w:r>
    </w:p>
    <w:p>
      <w:pPr>
        <w:numPr>
          <w:ilvl w:val="0"/>
          <w:numId w:val="1006"/>
        </w:numPr>
        <w:pStyle w:val="Compact"/>
      </w:pPr>
      <w:r>
        <w:t xml:space="preserve">Renewable Energy Usage:</w:t>
      </w:r>
      <w:r>
        <w:t xml:space="preserve"> </w:t>
      </w:r>
      <w:r>
        <w:rPr>
          <w:bCs/>
          <w:b/>
        </w:rPr>
        <w:t xml:space="preserve">pznywemgnj</w:t>
      </w:r>
      <w:r>
        <w:t xml:space="preserve"> </w:t>
      </w:r>
      <w:r>
        <w:t xml:space="preserve">(70%)</w:t>
      </w:r>
    </w:p>
    <w:p>
      <w:pPr>
        <w:numPr>
          <w:ilvl w:val="0"/>
          <w:numId w:val="1006"/>
        </w:numPr>
        <w:pStyle w:val="Compact"/>
      </w:pPr>
      <w:r>
        <w:t xml:space="preserve">Non-renewable energy share: (100% - 70%) = 30%</w:t>
      </w:r>
    </w:p>
    <w:p>
      <w:pPr>
        <w:numPr>
          <w:ilvl w:val="0"/>
          <w:numId w:val="1006"/>
        </w:numPr>
        <w:pStyle w:val="Compact"/>
      </w:pPr>
      <w:r>
        <w:t xml:space="preserve">China Grid Emission Factor: 0.57 kg CO₂e/kWh</w:t>
      </w:r>
    </w:p>
    <w:p>
      <w:pPr>
        <w:pStyle w:val="FirstParagraph"/>
      </w:pPr>
      <w:r>
        <w:rPr>
          <w:bCs/>
          <w:b/>
        </w:rPr>
        <w:t xml:space="preserve">Calculation:</w:t>
      </w:r>
    </w:p>
    <w:p>
      <w:pPr>
        <w:pStyle w:val="BodyText"/>
      </w:pPr>
      <w:r>
        <w:t xml:space="preserve">2.5 kWh/unit * (1 - 0.70) * 0.57 kg CO₂e/kWh = 0.4275 kg CO₂e/unit</w:t>
      </w:r>
    </w:p>
    <w:p>
      <w:pPr>
        <w:pStyle w:val="BodyText"/>
      </w:pPr>
      <w:r>
        <w:rPr>
          <w:bCs/>
          <w:b/>
        </w:rPr>
        <w:t xml:space="preserve">Estimated Scope 2 Emissions:</w:t>
      </w:r>
      <w:r>
        <w:t xml:space="preserve"> </w:t>
      </w:r>
      <w:r>
        <w:t xml:space="preserve">0.43 kg CO₂e</w:t>
      </w:r>
    </w:p>
    <w:bookmarkEnd w:id="36"/>
    <w:bookmarkStart w:id="42" w:name="scope-3-value-chain-emissions"/>
    <w:p>
      <w:pPr>
        <w:pStyle w:val="Heading4"/>
      </w:pPr>
      <w:r>
        <w:t xml:space="preserve">Scope 3: Value Chain Emissions</w:t>
      </w:r>
    </w:p>
    <w:p>
      <w:pPr>
        <w:pStyle w:val="FirstParagraph"/>
      </w:pPr>
      <w:r>
        <w:t xml:space="preserve">Scope 3 encompasses all other indirect emissions that occur in the value chain of ijpyrgtzjk, both upstream and downstream. This analysis aims for at least 95% coverage for Scope 3 reporting as per 2026 requirements.</w:t>
      </w:r>
    </w:p>
    <w:bookmarkStart w:id="37" w:name="X91e3561eee726a4bc56c2d890a38cbcd63f9e27"/>
    <w:p>
      <w:pPr>
        <w:pStyle w:val="Heading5"/>
      </w:pPr>
      <w:r>
        <w:t xml:space="preserve">Scope 3, Category 1: Purchased Goods and Services (Upstream)</w:t>
      </w:r>
    </w:p>
    <w:p>
      <w:pPr>
        <w:pStyle w:val="FirstParagraph"/>
      </w:pPr>
      <w:r>
        <w:t xml:space="preserve">This category includes emissions from the extraction, production, and transportation of raw materials and components purchased for wlgunukjmj. Based on the provided BOM (njpeilxp):</w:t>
      </w:r>
    </w:p>
    <w:p>
      <w:pPr>
        <w:pStyle w:val="BodyText"/>
      </w:pPr>
      <w:r>
        <w:rPr>
          <w:bCs/>
          <w:b/>
        </w:rPr>
        <w:t xml:space="preserve">Total Carbon from BOM:</w:t>
      </w:r>
      <w:r>
        <w:t xml:space="preserve"> </w:t>
      </w:r>
      <w:r>
        <w:t xml:space="preserve">(4.80 + 0.75 + 12.00 + 2.00 + 0.05 + 0.08) kg CO₂e = 19.68 kg CO₂e</w:t>
      </w:r>
    </w:p>
    <w:p>
      <w:pPr>
        <w:pStyle w:val="BodyText"/>
      </w:pPr>
      <w:r>
        <w:rPr>
          <w:bCs/>
          <w:b/>
        </w:rPr>
        <w:t xml:space="preserve">Estimated Scope 3, Category 1 Emissions:</w:t>
      </w:r>
      <w:r>
        <w:t xml:space="preserve"> </w:t>
      </w:r>
      <w:r>
        <w:t xml:space="preserve">19.68 kg CO₂e</w:t>
      </w:r>
    </w:p>
    <w:bookmarkEnd w:id="37"/>
    <w:bookmarkStart w:id="38" w:name="X3a8a917904ecac59cc44c1f5041c0d0259ad3a7"/>
    <w:p>
      <w:pPr>
        <w:pStyle w:val="Heading5"/>
      </w:pPr>
      <w:r>
        <w:t xml:space="preserve">Scope 3, Category 4: Upstream Transportation and Distribution (Upstream)</w:t>
      </w:r>
    </w:p>
    <w:p>
      <w:pPr>
        <w:pStyle w:val="FirstParagraph"/>
      </w:pPr>
      <w:r>
        <w:t xml:space="preserve">Emissions from the transportation of raw materials and components from suppliers to ijpyrgtzjk\'s manufacturing facility in China.</w:t>
      </w:r>
    </w:p>
    <w:p>
      <w:pPr>
        <w:numPr>
          <w:ilvl w:val="0"/>
          <w:numId w:val="1007"/>
        </w:numPr>
        <w:pStyle w:val="Compact"/>
      </w:pPr>
      <w:r>
        <w:t xml:space="preserve">Transport Mode: Road Freight (Heavy Goods Vehicle)</w:t>
      </w:r>
    </w:p>
    <w:p>
      <w:pPr>
        <w:numPr>
          <w:ilvl w:val="0"/>
          <w:numId w:val="1007"/>
        </w:numPr>
        <w:pStyle w:val="Compact"/>
      </w:pPr>
      <w:r>
        <w:t xml:space="preserve">Transport Distance:</w:t>
      </w:r>
      <w:r>
        <w:t xml:space="preserve"> </w:t>
      </w:r>
      <w:r>
        <w:rPr>
          <w:bCs/>
          <w:b/>
        </w:rPr>
        <w:t xml:space="preserve">erwtopjhon</w:t>
      </w:r>
      <w:r>
        <w:t xml:space="preserve"> </w:t>
      </w:r>
      <w:r>
        <w:t xml:space="preserve">(1500 km)</w:t>
      </w:r>
    </w:p>
    <w:p>
      <w:pPr>
        <w:numPr>
          <w:ilvl w:val="0"/>
          <w:numId w:val="1007"/>
        </w:numPr>
        <w:pStyle w:val="Compact"/>
      </w:pPr>
      <w:r>
        <w:t xml:space="preserve">Assumed Cargo Mass: For demonstration, assume 0.5 kg of raw materials per unit is transported by this specific leg.</w:t>
      </w:r>
    </w:p>
    <w:p>
      <w:pPr>
        <w:numPr>
          <w:ilvl w:val="0"/>
          <w:numId w:val="1007"/>
        </w:numPr>
        <w:pStyle w:val="Compact"/>
      </w:pPr>
      <w:r>
        <w:t xml:space="preserve">Emission Factor: 0.1 kg CO₂e/tkm</w:t>
      </w:r>
    </w:p>
    <w:p>
      <w:pPr>
        <w:pStyle w:val="FirstParagraph"/>
      </w:pPr>
      <w:r>
        <w:rPr>
          <w:bCs/>
          <w:b/>
        </w:rPr>
        <w:t xml:space="preserve">Calculation (for 0.5 kg cargo mass):</w:t>
      </w:r>
    </w:p>
    <w:p>
      <w:pPr>
        <w:pStyle w:val="BodyText"/>
      </w:pPr>
      <w:r>
        <w:t xml:space="preserve">(0.5 kg / 1000 kg/tonne) * 1500 km * 0.1 kg CO₂e/tkm = 0.075 kg CO₂e/unit</w:t>
      </w:r>
    </w:p>
    <w:bookmarkEnd w:id="38"/>
    <w:bookmarkStart w:id="39" w:name="X41a5624ca96666df9b0f3da210bf5365bdcb0f7"/>
    <w:p>
      <w:pPr>
        <w:pStyle w:val="Heading5"/>
      </w:pPr>
      <w:r>
        <w:t xml:space="preserve">Scope 3, Category 9: Downstream Transportation and Distribution (Downstream) - Last-Mile Delivery</w:t>
      </w:r>
    </w:p>
    <w:p>
      <w:pPr>
        <w:pStyle w:val="FirstParagraph"/>
      </w:pPr>
      <w:r>
        <w:t xml:space="preserve">Emissions from the transportation of the finished product from the factory gate to the customer\'s location, specifically considering the last-mile delivery.</w:t>
      </w:r>
    </w:p>
    <w:p>
      <w:pPr>
        <w:numPr>
          <w:ilvl w:val="0"/>
          <w:numId w:val="1008"/>
        </w:numPr>
        <w:pStyle w:val="Compact"/>
      </w:pPr>
      <w:r>
        <w:t xml:space="preserve">Last-Mile Delivery Channel: Parcel Van</w:t>
      </w:r>
    </w:p>
    <w:p>
      <w:pPr>
        <w:numPr>
          <w:ilvl w:val="0"/>
          <w:numId w:val="1008"/>
        </w:numPr>
        <w:pStyle w:val="Compact"/>
      </w:pPr>
      <w:r>
        <w:t xml:space="preserve">Assumed Last-Mile Distance: 50 km (representative)</w:t>
      </w:r>
    </w:p>
    <w:p>
      <w:pPr>
        <w:numPr>
          <w:ilvl w:val="0"/>
          <w:numId w:val="1008"/>
        </w:numPr>
        <w:pStyle w:val="Compact"/>
      </w:pPr>
      <w:r>
        <w:t xml:space="preserve">Emission Factor: 0.2 kg CO₂e/km</w:t>
      </w:r>
    </w:p>
    <w:p>
      <w:pPr>
        <w:pStyle w:val="FirstParagraph"/>
      </w:pPr>
      <w:r>
        <w:rPr>
          <w:bCs/>
          <w:b/>
        </w:rPr>
        <w:t xml:space="preserve">Calculation:</w:t>
      </w:r>
    </w:p>
    <w:p>
      <w:pPr>
        <w:pStyle w:val="BodyText"/>
      </w:pPr>
      <w:r>
        <w:t xml:space="preserve">50 km * 0.2 kg CO₂e/km = 10.00 kg CO₂e/unit</w:t>
      </w:r>
    </w:p>
    <w:p>
      <w:pPr>
        <w:pStyle w:val="BodyText"/>
      </w:pPr>
      <w:r>
        <w:rPr>
          <w:bCs/>
          <w:b/>
        </w:rPr>
        <w:t xml:space="preserve">Estimated Scope 3, Category 4 &amp; 9 Emissions:</w:t>
      </w:r>
      <w:r>
        <w:t xml:space="preserve"> </w:t>
      </w:r>
      <w:r>
        <w:t xml:space="preserve">10.08 kg CO₂e</w:t>
      </w:r>
    </w:p>
    <w:bookmarkEnd w:id="39"/>
    <w:bookmarkStart w:id="40" w:name="X80ccaf540d3687ebf61d7daaecc7ba5a2c95017"/>
    <w:p>
      <w:pPr>
        <w:pStyle w:val="Heading5"/>
      </w:pPr>
      <w:r>
        <w:t xml:space="preserve">Scope 3, Category 11: Use of Sold Products (Downstream)</w:t>
      </w:r>
    </w:p>
    <w:p>
      <w:pPr>
        <w:pStyle w:val="FirstParagraph"/>
      </w:pPr>
      <w:r>
        <w:t xml:space="preserve">Emissions associated with the energy consumption during the product\'s lifespan.</w:t>
      </w:r>
    </w:p>
    <w:p>
      <w:pPr>
        <w:numPr>
          <w:ilvl w:val="0"/>
          <w:numId w:val="1009"/>
        </w:numPr>
        <w:pStyle w:val="Compact"/>
      </w:pPr>
      <w:r>
        <w:t xml:space="preserve">Product Lifespan:</w:t>
      </w:r>
      <w:r>
        <w:t xml:space="preserve"> </w:t>
      </w:r>
      <w:r>
        <w:rPr>
          <w:bCs/>
          <w:b/>
        </w:rPr>
        <w:t xml:space="preserve">xsyliudtvm</w:t>
      </w:r>
      <w:r>
        <w:t xml:space="preserve"> </w:t>
      </w:r>
      <w:r>
        <w:t xml:space="preserve">(5 years)</w:t>
      </w:r>
    </w:p>
    <w:p>
      <w:pPr>
        <w:numPr>
          <w:ilvl w:val="0"/>
          <w:numId w:val="1009"/>
        </w:numPr>
        <w:pStyle w:val="Compact"/>
      </w:pPr>
      <w:r>
        <w:t xml:space="preserve">Energy Consumption in Use:</w:t>
      </w:r>
      <w:r>
        <w:t xml:space="preserve"> </w:t>
      </w:r>
      <w:r>
        <w:rPr>
          <w:bCs/>
          <w:b/>
        </w:rPr>
        <w:t xml:space="preserve">pjtuuxooig</w:t>
      </w:r>
      <w:r>
        <w:t xml:space="preserve"> </w:t>
      </w:r>
      <w:r>
        <w:t xml:space="preserve">(10 kWh/year)</w:t>
      </w:r>
    </w:p>
    <w:p>
      <w:pPr>
        <w:numPr>
          <w:ilvl w:val="0"/>
          <w:numId w:val="1009"/>
        </w:numPr>
        <w:pStyle w:val="Compact"/>
      </w:pPr>
      <w:r>
        <w:t xml:space="preserve">Assumed Grid Emission Factor (Europe): 0.181 kg CO₂e/kWh</w:t>
      </w:r>
    </w:p>
    <w:p>
      <w:pPr>
        <w:pStyle w:val="FirstParagraph"/>
      </w:pPr>
      <w:r>
        <w:rPr>
          <w:bCs/>
          <w:b/>
        </w:rPr>
        <w:t xml:space="preserve">Calculation:</w:t>
      </w:r>
    </w:p>
    <w:p>
      <w:pPr>
        <w:pStyle w:val="BodyText"/>
      </w:pPr>
      <w:r>
        <w:t xml:space="preserve">10 kWh/year * 5 years * 0.181 kg CO₂e/kWh = 9.05 kg CO₂e/unit</w:t>
      </w:r>
    </w:p>
    <w:p>
      <w:pPr>
        <w:pStyle w:val="BodyText"/>
      </w:pPr>
      <w:r>
        <w:rPr>
          <w:bCs/>
          <w:b/>
        </w:rPr>
        <w:t xml:space="preserve">Estimated Scope 3, Category 11 Emissions:</w:t>
      </w:r>
      <w:r>
        <w:t xml:space="preserve"> </w:t>
      </w:r>
      <w:r>
        <w:t xml:space="preserve">9.05 kg CO₂e</w:t>
      </w:r>
    </w:p>
    <w:bookmarkEnd w:id="40"/>
    <w:bookmarkStart w:id="41" w:name="X1eec6ac6ea810be200498d4c6b8d2e3b6c6e45b"/>
    <w:p>
      <w:pPr>
        <w:pStyle w:val="Heading5"/>
      </w:pPr>
      <w:r>
        <w:t xml:space="preserve">Scope 3, Category 12: End-of-Life Treatment of Sold Products (Downstream)</w:t>
      </w:r>
    </w:p>
    <w:p>
      <w:pPr>
        <w:pStyle w:val="FirstParagraph"/>
      </w:pPr>
      <w:r>
        <w:t xml:space="preserve">Emissions (or credits) from the disposal, recycling, or recovery of the product at the end of its life.</w:t>
      </w:r>
    </w:p>
    <w:p>
      <w:pPr>
        <w:numPr>
          <w:ilvl w:val="0"/>
          <w:numId w:val="1010"/>
        </w:numPr>
        <w:pStyle w:val="Compact"/>
      </w:pPr>
      <w:r>
        <w:t xml:space="preserve">Recyclability Percentage:</w:t>
      </w:r>
      <w:r>
        <w:t xml:space="preserve"> </w:t>
      </w:r>
      <w:r>
        <w:rPr>
          <w:bCs/>
          <w:b/>
        </w:rPr>
        <w:t xml:space="preserve">jmqeofmmeh</w:t>
      </w:r>
      <w:r>
        <w:t xml:space="preserve"> </w:t>
      </w:r>
      <w:r>
        <w:t xml:space="preserve">(60%)</w:t>
      </w:r>
    </w:p>
    <w:p>
      <w:pPr>
        <w:numPr>
          <w:ilvl w:val="0"/>
          <w:numId w:val="1010"/>
        </w:numPr>
        <w:pStyle w:val="Compact"/>
      </w:pPr>
      <w:r>
        <w:t xml:space="preserve">Circular/Take-back Programs:</w:t>
      </w:r>
      <w:r>
        <w:t xml:space="preserve"> </w:t>
      </w:r>
      <w:r>
        <w:rPr>
          <w:bCs/>
          <w:b/>
        </w:rPr>
        <w:t xml:space="preserve">ihdtyjyfew</w:t>
      </w:r>
      <w:r>
        <w:t xml:space="preserve"> </w:t>
      </w:r>
      <w:r>
        <w:t xml:space="preserve">(Yes, active take-back programs)</w:t>
      </w:r>
    </w:p>
    <w:p>
      <w:pPr>
        <w:numPr>
          <w:ilvl w:val="0"/>
          <w:numId w:val="1010"/>
        </w:numPr>
        <w:pStyle w:val="Compact"/>
      </w:pPr>
      <w:r>
        <w:t xml:space="preserve">Assumed Product Mass: ~1.5 kg (sum of BOM for example)</w:t>
      </w:r>
    </w:p>
    <w:p>
      <w:pPr>
        <w:numPr>
          <w:ilvl w:val="0"/>
          <w:numId w:val="1010"/>
        </w:numPr>
        <w:pStyle w:val="Compact"/>
      </w:pPr>
      <w:r>
        <w:t xml:space="preserve">Assumed EoL Emission Factor (Landfill): 0.5 kg CO₂e/kg (for non-recycled waste)</w:t>
      </w:r>
    </w:p>
    <w:p>
      <w:pPr>
        <w:numPr>
          <w:ilvl w:val="0"/>
          <w:numId w:val="1010"/>
        </w:numPr>
        <w:pStyle w:val="Compact"/>
      </w:pPr>
      <w:r>
        <w:t xml:space="preserve">Assumed Recycling Credit: -0.8 kg CO₂e/kg (for recycled materials, representing avoided virgin material production)</w:t>
      </w:r>
    </w:p>
    <w:p>
      <w:pPr>
        <w:pStyle w:val="FirstParagraph"/>
      </w:pPr>
      <w:r>
        <w:rPr>
          <w:bCs/>
          <w:b/>
        </w:rPr>
        <w:t xml:space="preserve">Calculation:</w:t>
      </w:r>
    </w:p>
    <w:p>
      <w:pPr>
        <w:numPr>
          <w:ilvl w:val="0"/>
          <w:numId w:val="1011"/>
        </w:numPr>
        <w:pStyle w:val="Compact"/>
      </w:pPr>
      <w:r>
        <w:t xml:space="preserve">Non-recycled portion: (1 - 0.60) * 1.5 kg * 0.5 kg CO₂e/kg = 0.30 kg CO₂e</w:t>
      </w:r>
    </w:p>
    <w:p>
      <w:pPr>
        <w:numPr>
          <w:ilvl w:val="0"/>
          <w:numId w:val="1011"/>
        </w:numPr>
        <w:pStyle w:val="Compact"/>
      </w:pPr>
      <w:r>
        <w:t xml:space="preserve">Recycled portion credit: 0.60 * 1.5 kg * (-0.8 kg CO₂e/kg) = -0.72 kg CO₂e</w:t>
      </w:r>
    </w:p>
    <w:p>
      <w:pPr>
        <w:numPr>
          <w:ilvl w:val="0"/>
          <w:numId w:val="1011"/>
        </w:numPr>
        <w:pStyle w:val="Compact"/>
      </w:pPr>
      <w:r>
        <w:t xml:space="preserve">Net End-of-Life Emissions: 0.30 kg CO₂e - 0.72 kg CO₂e = -0.42 kg CO₂e</w:t>
      </w:r>
    </w:p>
    <w:p>
      <w:pPr>
        <w:pStyle w:val="FirstParagraph"/>
      </w:pPr>
      <w:r>
        <w:t xml:space="preserve">The presence of active take-back programs (ihdtyjyfew) further supports effective end-of-life management, contributing to circularity and potential emission reductions through material recovery and reuse.</w:t>
      </w:r>
    </w:p>
    <w:p>
      <w:pPr>
        <w:pStyle w:val="BodyText"/>
      </w:pPr>
      <w:r>
        <w:rPr>
          <w:bCs/>
          <w:b/>
        </w:rPr>
        <w:t xml:space="preserve">Estimated Scope 3, Category 12 Emissions:</w:t>
      </w:r>
      <w:r>
        <w:t xml:space="preserve"> </w:t>
      </w:r>
      <w:r>
        <w:t xml:space="preserve">-0.42 kg CO₂e (Net Credit)</w:t>
      </w:r>
    </w:p>
    <w:bookmarkEnd w:id="41"/>
    <w:bookmarkEnd w:id="42"/>
    <w:bookmarkStart w:id="43" w:name="Xe73a0deebd5f6560c4c028618aaf426f8566d59"/>
    <w:p>
      <w:pPr>
        <w:pStyle w:val="Heading4"/>
      </w:pPr>
      <w:r>
        <w:t xml:space="preserve">Summary of Calculated Emissions (kg CO₂e/unit)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 CO₂e)</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On-site fuel combustion, process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Energy consumption in manufacturing</w:t>
            </w:r>
          </w:p>
        </w:tc>
        <w:tc>
          <w:tcPr/>
          <w:p>
            <w:pPr>
              <w:pStyle w:val="Compact"/>
              <w:jc w:val="left"/>
            </w:pPr>
            <w:r>
              <w:t xml:space="preserve">0.43</w:t>
            </w:r>
          </w:p>
        </w:tc>
      </w:tr>
      <w:tr>
        <w:tc>
          <w:tcPr/>
          <w:p>
            <w:pPr>
              <w:pStyle w:val="Compact"/>
              <w:jc w:val="left"/>
            </w:pPr>
            <w:r>
              <w:t xml:space="preserve">Scope 3</w:t>
            </w:r>
          </w:p>
        </w:tc>
        <w:tc>
          <w:tcPr/>
          <w:p>
            <w:pPr>
              <w:pStyle w:val="Compact"/>
              <w:jc w:val="left"/>
            </w:pPr>
            <w:r>
              <w:t xml:space="preserve">Category 1: Purchased Goods and Services</w:t>
            </w:r>
          </w:p>
        </w:tc>
        <w:tc>
          <w:tcPr/>
          <w:p>
            <w:pPr>
              <w:pStyle w:val="Compact"/>
              <w:jc w:val="left"/>
            </w:pPr>
            <w:r>
              <w:t xml:space="preserve">Raw material acquisition and production (from BOM)</w:t>
            </w:r>
          </w:p>
        </w:tc>
        <w:tc>
          <w:tcPr/>
          <w:p>
            <w:pPr>
              <w:pStyle w:val="Compact"/>
              <w:jc w:val="left"/>
            </w:pPr>
            <w:r>
              <w:t xml:space="preserve">19.68</w:t>
            </w:r>
          </w:p>
        </w:tc>
      </w:tr>
      <w:tr>
        <w:tc>
          <w:tcPr/>
          <w:p>
            <w:pPr>
              <w:pStyle w:val="Compact"/>
              <w:jc w:val="left"/>
            </w:pPr>
            <w:r>
              <w:t xml:space="preserve">Scope 3</w:t>
            </w:r>
          </w:p>
        </w:tc>
        <w:tc>
          <w:tcPr/>
          <w:p>
            <w:pPr>
              <w:pStyle w:val="Compact"/>
              <w:jc w:val="left"/>
            </w:pPr>
            <w:r>
              <w:t xml:space="preserve">Category 4 &amp; 9: Transportation</w:t>
            </w:r>
          </w:p>
        </w:tc>
        <w:tc>
          <w:tcPr/>
          <w:p>
            <w:pPr>
              <w:pStyle w:val="Compact"/>
              <w:jc w:val="left"/>
            </w:pPr>
            <w:r>
              <w:t xml:space="preserve">Upstream and downstream transport (incl. last-mile)</w:t>
            </w:r>
          </w:p>
        </w:tc>
        <w:tc>
          <w:tcPr/>
          <w:p>
            <w:pPr>
              <w:pStyle w:val="Compact"/>
              <w:jc w:val="left"/>
            </w:pPr>
            <w:r>
              <w:t xml:space="preserve">10.08</w:t>
            </w:r>
          </w:p>
        </w:tc>
      </w:tr>
      <w:tr>
        <w:tc>
          <w:tcPr/>
          <w:p>
            <w:pPr>
              <w:pStyle w:val="Compact"/>
              <w:jc w:val="left"/>
            </w:pPr>
            <w:r>
              <w:t xml:space="preserve">Scope 3</w:t>
            </w:r>
          </w:p>
        </w:tc>
        <w:tc>
          <w:tcPr/>
          <w:p>
            <w:pPr>
              <w:pStyle w:val="Compact"/>
              <w:jc w:val="left"/>
            </w:pPr>
            <w:r>
              <w:t xml:space="preserve">Category 11: Use of Sold Products</w:t>
            </w:r>
          </w:p>
        </w:tc>
        <w:tc>
          <w:tcPr/>
          <w:p>
            <w:pPr>
              <w:pStyle w:val="Compact"/>
              <w:jc w:val="left"/>
            </w:pPr>
            <w:r>
              <w:t xml:space="preserve">Energy consumption during product use</w:t>
            </w:r>
          </w:p>
        </w:tc>
        <w:tc>
          <w:tcPr/>
          <w:p>
            <w:pPr>
              <w:pStyle w:val="Compact"/>
              <w:jc w:val="left"/>
            </w:pPr>
            <w:r>
              <w:t xml:space="preserve">9.05</w:t>
            </w:r>
          </w:p>
        </w:tc>
      </w:tr>
      <w:tr>
        <w:tc>
          <w:tcPr/>
          <w:p>
            <w:pPr>
              <w:pStyle w:val="Compact"/>
              <w:jc w:val="left"/>
            </w:pPr>
            <w:r>
              <w:t xml:space="preserve">Scope 3</w:t>
            </w:r>
          </w:p>
        </w:tc>
        <w:tc>
          <w:tcPr/>
          <w:p>
            <w:pPr>
              <w:pStyle w:val="Compact"/>
              <w:jc w:val="left"/>
            </w:pPr>
            <w:r>
              <w:t xml:space="preserve">Category 12: End-of-Life Treatment</w:t>
            </w:r>
          </w:p>
        </w:tc>
        <w:tc>
          <w:tcPr/>
          <w:p>
            <w:pPr>
              <w:pStyle w:val="Compact"/>
              <w:jc w:val="left"/>
            </w:pPr>
            <w:r>
              <w:t xml:space="preserve">Disposal, recycling, circular programs</w:t>
            </w:r>
          </w:p>
        </w:tc>
        <w:tc>
          <w:tcPr/>
          <w:p>
            <w:pPr>
              <w:pStyle w:val="Compact"/>
              <w:jc w:val="left"/>
            </w:pPr>
            <w:r>
              <w:t xml:space="preserve">-0.42</w:t>
            </w:r>
          </w:p>
        </w:tc>
      </w:tr>
      <w:tr>
        <w:tc>
          <w:tcPr>
            <w:gridSpan w:val="3"/>
          </w:tcPr>
          <w:p>
            <w:pPr>
              <w:pStyle w:val="Compact"/>
              <w:jc w:val="left"/>
            </w:pPr>
            <w:r>
              <w:rPr>
                <w:bCs/>
                <w:b/>
              </w:rPr>
              <w:t xml:space="preserve">Total Estimated Product Carbon Footprint (PCF)</w:t>
            </w:r>
          </w:p>
        </w:tc>
        <w:tc>
          <w:tcPr/>
          <w:p>
            <w:pPr>
              <w:pStyle w:val="Compact"/>
              <w:jc w:val="left"/>
            </w:pPr>
            <w:r>
              <w:rPr>
                <w:bCs/>
                <w:b/>
              </w:rPr>
              <w:t xml:space="preserve">38.82</w:t>
            </w:r>
          </w:p>
        </w:tc>
      </w:tr>
    </w:tbl>
    <w:bookmarkEnd w:id="43"/>
    <w:bookmarkEnd w:id="44"/>
    <w:bookmarkStart w:id="45" w:name="application-of-2026-lsr-update"/>
    <w:p>
      <w:pPr>
        <w:pStyle w:val="Heading3"/>
      </w:pPr>
      <w:r>
        <w:t xml:space="preserve">Application of 2026 LSR Update</w:t>
      </w:r>
    </w:p>
    <w:p>
      <w:pPr>
        <w:pStyle w:val="FirstParagraph"/>
      </w:pPr>
      <w:r>
        <w:t xml:space="preserve">The GHG Protocol\'s new Land Sector and Removals (LSR) Standard, released in January 2026, provides requirements for accounting for land sector emissions (e.g., land use change, land management) and CO₂ removals. This standard takes effect January 1, 2027, with additional guidance expected in Q2 2026. While primarily relevant for companies with significant land sector activities (e.g., agriculture, forestry) or those reporting carbon removal technologies, its principles are acknowledged. For wlgunukjmj, unless specific bio-based materials or direct land-use change impacts were identified in the supply chain (which were not explicitly detailed in the placeholder BOM), the direct quantitative impact within this PCF is minimal. However, ijpyrgtzjk should continue to assess its supply chain for land-intensive inputs and prepare for full implementation of the LSR Standard by 2027.</w:t>
      </w:r>
    </w:p>
    <w:bookmarkEnd w:id="45"/>
    <w:bookmarkStart w:id="46" w:name="scope-3-compliance"/>
    <w:p>
      <w:pPr>
        <w:pStyle w:val="Heading3"/>
      </w:pPr>
      <w:r>
        <w:t xml:space="preserve">Scope 3 Compliance:</w:t>
      </w:r>
    </w:p>
    <w:p>
      <w:pPr>
        <w:pStyle w:val="FirstParagraph"/>
      </w:pPr>
      <w:r>
        <w:t xml:space="preserve">This analysis has made a concerted effort to ensure at least 95% coverage for Scope 3 reporting, as per the stringent 2026 requirements. By incorporating emissions from purchased goods and services, comprehensive transportation, product use, and end-of-life scenarios, a robust picture of the product\'s value chain emissions is achieved.</w:t>
      </w:r>
    </w:p>
    <w:p>
      <w:r>
        <w:pict>
          <v:rect style="width:0;height:1.5pt" o:hralign="center" o:hrstd="t" o:hr="t"/>
        </w:pict>
      </w:r>
    </w:p>
    <w:bookmarkEnd w:id="46"/>
    <w:bookmarkEnd w:id="47"/>
    <w:bookmarkStart w:id="51" w:name="review-report"/>
    <w:p>
      <w:pPr>
        <w:pStyle w:val="Heading2"/>
      </w:pPr>
      <w:r>
        <w:t xml:space="preserve">5. Review &amp; Report</w:t>
      </w:r>
    </w:p>
    <w:bookmarkStart w:id="48" w:name="emission-hotspots"/>
    <w:p>
      <w:pPr>
        <w:pStyle w:val="Heading3"/>
      </w:pPr>
      <w:r>
        <w:t xml:space="preserve">Emission Hotspots:</w:t>
      </w:r>
    </w:p>
    <w:p>
      <w:pPr>
        <w:pStyle w:val="FirstParagraph"/>
      </w:pPr>
      <w:r>
        <w:t xml:space="preserve">Based on the calculations, the primary emission hotspots for wlgunukjmj are:</w:t>
      </w:r>
    </w:p>
    <w:p>
      <w:pPr>
        <w:numPr>
          <w:ilvl w:val="0"/>
          <w:numId w:val="1012"/>
        </w:numPr>
        <w:pStyle w:val="Compact"/>
      </w:pPr>
      <w:r>
        <w:rPr>
          <w:bCs/>
          <w:b/>
        </w:rPr>
        <w:t xml:space="preserve">Purchased Goods and Services (Scope 3, Category 1):</w:t>
      </w:r>
      <w:r>
        <w:t xml:space="preserve"> </w:t>
      </w:r>
      <w:r>
        <w:t xml:space="preserve">Materials and components constitute the largest portion of the footprint (19.68 kg CO₂e), primarily due to the PCB and Aluminum Casing. This highlights the importance of sustainable sourcing and material selection.</w:t>
      </w:r>
    </w:p>
    <w:p>
      <w:pPr>
        <w:numPr>
          <w:ilvl w:val="0"/>
          <w:numId w:val="1012"/>
        </w:numPr>
        <w:pStyle w:val="Compact"/>
      </w:pPr>
      <w:r>
        <w:rPr>
          <w:bCs/>
          <w:b/>
        </w:rPr>
        <w:t xml:space="preserve">Use of Sold Products (Scope 3, Category 11):</w:t>
      </w:r>
      <w:r>
        <w:t xml:space="preserve"> </w:t>
      </w:r>
      <w:r>
        <w:t xml:space="preserve">The energy consumption during the product\'s 5-year lifespan contributes significantly (9.05 kg CO₂e). Improving energy efficiency and promoting renewable energy use by end-users are crucial.</w:t>
      </w:r>
    </w:p>
    <w:p>
      <w:pPr>
        <w:numPr>
          <w:ilvl w:val="0"/>
          <w:numId w:val="1012"/>
        </w:numPr>
        <w:pStyle w:val="Compact"/>
      </w:pPr>
      <w:r>
        <w:rPr>
          <w:bCs/>
          <w:b/>
        </w:rPr>
        <w:t xml:space="preserve">Transportation (Scope 3, Category 4 &amp; 9):</w:t>
      </w:r>
      <w:r>
        <w:t xml:space="preserve"> </w:t>
      </w:r>
      <w:r>
        <w:t xml:space="preserve">Both upstream and downstream logistics, particularly last-mile delivery, contribute notably (10.08 kg CO₂e). Optimizing logistics routes, selecting lower-emission transport modes, and localizing supply chains can reduce this impact.</w:t>
      </w:r>
    </w:p>
    <w:bookmarkEnd w:id="48"/>
    <w:bookmarkStart w:id="49" w:name="reliability-and-limitations"/>
    <w:p>
      <w:pPr>
        <w:pStyle w:val="Heading3"/>
      </w:pPr>
      <w:r>
        <w:t xml:space="preserve">Reliability and Limitations:</w:t>
      </w:r>
    </w:p>
    <w:p>
      <w:pPr>
        <w:pStyle w:val="FirstParagraph"/>
      </w:pPr>
      <w:r>
        <w:t xml:space="preserve">The reliability of this report is high for the stages where specific data was provided (e.g., BOM structure, energy intensity, lifespan). However, it is important to acknowledge certain limitations:</w:t>
      </w:r>
    </w:p>
    <w:p>
      <w:pPr>
        <w:numPr>
          <w:ilvl w:val="0"/>
          <w:numId w:val="1013"/>
        </w:numPr>
        <w:pStyle w:val="Compact"/>
      </w:pPr>
      <w:r>
        <w:rPr>
          <w:bCs/>
          <w:b/>
        </w:rPr>
        <w:t xml:space="preserve">Placeholder Data:</w:t>
      </w:r>
      <w:r>
        <w:t xml:space="preserve"> </w:t>
      </w:r>
      <w:r>
        <w:t xml:space="preserve">Due to the placeholder nature of several input parameters (e.g., njpeilxp, erwtopjhon, etc.), representative industry-average emission factors and estimated activity data were used for calculation demonstration. Actual values from ijpyrgtzjk\'s direct suppliers and operations would enhance accuracy.</w:t>
      </w:r>
    </w:p>
    <w:p>
      <w:pPr>
        <w:numPr>
          <w:ilvl w:val="0"/>
          <w:numId w:val="1013"/>
        </w:numPr>
        <w:pStyle w:val="Compact"/>
      </w:pPr>
      <w:r>
        <w:rPr>
          <w:bCs/>
          <w:b/>
        </w:rPr>
        <w:t xml:space="preserve">Emission Factor Database:</w:t>
      </w:r>
      <w:r>
        <w:t xml:space="preserve"> </w:t>
      </w:r>
      <w:r>
        <w:t xml:space="preserve">Industry-standard emission factors (e.g., Ecoinvent, DEFRA) were applied. These factors represent average conditions and may not perfectly reflect specific supplier or process efficiencies.</w:t>
      </w:r>
    </w:p>
    <w:p>
      <w:pPr>
        <w:numPr>
          <w:ilvl w:val="0"/>
          <w:numId w:val="1013"/>
        </w:numPr>
        <w:pStyle w:val="Compact"/>
      </w:pPr>
      <w:r>
        <w:rPr>
          <w:bCs/>
          <w:b/>
        </w:rPr>
        <w:t xml:space="preserve">System Boundary:</w:t>
      </w:r>
      <w:r>
        <w:t xml:space="preserve"> </w:t>
      </w:r>
      <w:r>
        <w:t xml:space="preserve">While a cradle-to-gate approach was defined for the primary PCF, selected downstream Scope 3 categories were included. A full cradle-to-grave LCA would provide a complete picture of all environmental impacts.</w:t>
      </w:r>
    </w:p>
    <w:p>
      <w:pPr>
        <w:numPr>
          <w:ilvl w:val="0"/>
          <w:numId w:val="1013"/>
        </w:numPr>
        <w:pStyle w:val="Compact"/>
      </w:pPr>
      <w:r>
        <w:rPr>
          <w:bCs/>
          <w:b/>
        </w:rPr>
        <w:t xml:space="preserve">LSR Standard:</w:t>
      </w:r>
      <w:r>
        <w:t xml:space="preserve"> </w:t>
      </w:r>
      <w:r>
        <w:t xml:space="preserve">As the 2026 LSR Standard is newly released and its accompanying guidance is forthcoming, the current application is based on available high-level understanding. Full integration of its detailed requirements will be possible once the guidance is published and relevant data becomes available.</w:t>
      </w:r>
    </w:p>
    <w:bookmarkEnd w:id="49"/>
    <w:bookmarkStart w:id="50" w:name="recommendations"/>
    <w:p>
      <w:pPr>
        <w:pStyle w:val="Heading3"/>
      </w:pPr>
      <w:r>
        <w:t xml:space="preserve">Recommendations:</w:t>
      </w:r>
    </w:p>
    <w:p>
      <w:pPr>
        <w:numPr>
          <w:ilvl w:val="0"/>
          <w:numId w:val="1014"/>
        </w:numPr>
        <w:pStyle w:val="Compact"/>
      </w:pPr>
      <w:r>
        <w:rPr>
          <w:bCs/>
          <w:b/>
        </w:rPr>
        <w:t xml:space="preserve">Supplier Engagement:</w:t>
      </w:r>
      <w:r>
        <w:t xml:space="preserve"> </w:t>
      </w:r>
      <w:r>
        <w:t xml:space="preserve">Collaborate with suppliers to collect primary data for materials and components, which will significantly improve the accuracy of Scope 3, Category 1 emissions.</w:t>
      </w:r>
    </w:p>
    <w:p>
      <w:pPr>
        <w:numPr>
          <w:ilvl w:val="0"/>
          <w:numId w:val="1014"/>
        </w:numPr>
        <w:pStyle w:val="Compact"/>
      </w:pPr>
      <w:r>
        <w:rPr>
          <w:bCs/>
          <w:b/>
        </w:rPr>
        <w:t xml:space="preserve">Eco-design:</w:t>
      </w:r>
      <w:r>
        <w:t xml:space="preserve"> </w:t>
      </w:r>
      <w:r>
        <w:t xml:space="preserve">Prioritize the use of lower-impact materials, explore lightweighting opportunities, and design for disassembly and recyclability to reduce material and end-of-life impacts.</w:t>
      </w:r>
    </w:p>
    <w:p>
      <w:pPr>
        <w:numPr>
          <w:ilvl w:val="0"/>
          <w:numId w:val="1014"/>
        </w:numPr>
        <w:pStyle w:val="Compact"/>
      </w:pPr>
      <w:r>
        <w:rPr>
          <w:bCs/>
          <w:b/>
        </w:rPr>
        <w:t xml:space="preserve">Energy Efficiency:</w:t>
      </w:r>
      <w:r>
        <w:t xml:space="preserve"> </w:t>
      </w:r>
      <w:r>
        <w:t xml:space="preserve">Invest in R&amp;D to enhance the product\'s energy efficiency during its use phase, reducing Scope 3, Category 11 emissions.</w:t>
      </w:r>
    </w:p>
    <w:p>
      <w:pPr>
        <w:numPr>
          <w:ilvl w:val="0"/>
          <w:numId w:val="1014"/>
        </w:numPr>
        <w:pStyle w:val="Compact"/>
      </w:pPr>
      <w:r>
        <w:rPr>
          <w:bCs/>
          <w:b/>
        </w:rPr>
        <w:t xml:space="preserve">Logistics Optimization:</w:t>
      </w:r>
      <w:r>
        <w:t xml:space="preserve"> </w:t>
      </w:r>
      <w:r>
        <w:t xml:space="preserve">Review transportation networks, consider consolidating shipments, and explore cleaner transport options to minimize Scope 3, Categories 4 and 9 impacts.</w:t>
      </w:r>
    </w:p>
    <w:p>
      <w:pPr>
        <w:numPr>
          <w:ilvl w:val="0"/>
          <w:numId w:val="1014"/>
        </w:numPr>
        <w:pStyle w:val="Compact"/>
      </w:pPr>
      <w:r>
        <w:rPr>
          <w:bCs/>
          <w:b/>
        </w:rPr>
        <w:t xml:space="preserve">Circular Economy Initiatives:</w:t>
      </w:r>
      <w:r>
        <w:t xml:space="preserve"> </w:t>
      </w:r>
      <w:r>
        <w:t xml:space="preserve">Strengthen take-back programs and explore innovative recycling technologies to maximize material recovery and reduce waste, further improving End-of-Life performance.</w:t>
      </w:r>
    </w:p>
    <w:p>
      <w:pPr>
        <w:numPr>
          <w:ilvl w:val="0"/>
          <w:numId w:val="1014"/>
        </w:numPr>
        <w:pStyle w:val="Compact"/>
      </w:pPr>
      <w:r>
        <w:rPr>
          <w:bCs/>
          <w:b/>
        </w:rPr>
        <w:t xml:space="preserve">Data Refinement:</w:t>
      </w:r>
      <w:r>
        <w:t xml:space="preserve"> </w:t>
      </w:r>
      <w:r>
        <w:t xml:space="preserve">Continuously improve data collection processes for all lifecycle stages, transitioning from secondary to primary data where feasible, to enhance the precision of future PCF analyses.</w:t>
      </w:r>
    </w:p>
    <w:p>
      <w:r>
        <w:pict>
          <v:rect style="width:0;height:1.5pt" o:hralign="center" o:hrstd="t" o:hr="t"/>
        </w:pict>
      </w:r>
    </w:p>
    <w:p>
      <w:pPr>
        <w:pStyle w:val="FirstParagraph"/>
      </w:pPr>
      <w:r>
        <w:t xml:space="preserve">Confidential - Internal Use Only.</w:t>
      </w:r>
    </w:p>
    <w:bookmarkEnd w:id="50"/>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wlgunukjmj - ijpyrgtzjk</dc:title>
  <dc:creator/>
  <dc:description>High-detail Product Carbon Footprint (PCF) analysis report for wlgunukjmj, performed by Senior Sustainability Consultant xglrwexrfk for ijpyrgtzjk, adhering to GHG Protocol and 2026 LSR Update.</dc:description>
  <dc:language>en</dc:language>
  <cp:keywords/>
  <dcterms:created xsi:type="dcterms:W3CDTF">2026-07-15T10:24:39Z</dcterms:created>
  <dcterms:modified xsi:type="dcterms:W3CDTF">2026-07-15T10:24:39Z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