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wizgqpxqrw</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wizgqpxqrw</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dpfsfekqit</w:t>
      </w:r>
    </w:p>
    <w:p>
      <w:pPr>
        <w:pStyle w:val="BodyText"/>
      </w:pPr>
      <w:r>
        <w:rPr>
          <w:bCs/>
          <w:b/>
        </w:rPr>
        <w:t xml:space="preserve">Senior Sustainability Consultant:</w:t>
      </w:r>
      <w:r>
        <w:t xml:space="preserve"> </w:t>
      </w:r>
      <w:r>
        <w:t xml:space="preserve">sfrdqiytml</w:t>
      </w:r>
    </w:p>
    <w:p>
      <w:pPr>
        <w:pStyle w:val="BodyText"/>
      </w:pPr>
      <w:r>
        <w:t xml:space="preserve">Disclaimer: This report is generated based on available data and industry standards, with specific parameters provided for the analysis.</w:t>
      </w:r>
      <w:r>
        <w:t xml:space="preserve"> </w:t>
      </w:r>
      <w:r>
        <w:t xml:space="preserve">Assumptions for placeholder values have been made as explicitly noted within the report.</w:t>
      </w:r>
    </w:p>
    <w:bookmarkEnd w:id="20"/>
    <w:bookmarkStart w:id="22" w:name="Xc62cb1f6e57bd1d43b1a5fae43a8e2877ec5c7f"/>
    <w:p>
      <w:pPr>
        <w:pStyle w:val="Heading1"/>
      </w:pPr>
      <w:r>
        <w:t xml:space="preserve">Product Carbon Footprint (PCF) Analysis Report</w:t>
      </w:r>
    </w:p>
    <w:bookmarkStart w:id="21" w:name="product-wizgqpxqrw"/>
    <w:p>
      <w:pPr>
        <w:pStyle w:val="Heading2"/>
      </w:pPr>
      <w:r>
        <w:t xml:space="preserve">Product: wizgqpxqrw</w:t>
      </w:r>
    </w:p>
    <w:p>
      <w:pPr>
        <w:pStyle w:val="FirstParagraph"/>
      </w:pPr>
      <w:r>
        <w:rPr>
          <w:bCs/>
          <w:b/>
        </w:rPr>
        <w:t xml:space="preserve">Generated Date:</w:t>
      </w:r>
      <w:r>
        <w:t xml:space="preserve"> </w:t>
      </w:r>
      <w:r>
        <w:t xml:space="preserve">May 22, 2026</w:t>
      </w:r>
    </w:p>
    <w:p>
      <w:pPr>
        <w:pStyle w:val="BodyText"/>
      </w:pPr>
      <w:r>
        <w:rPr>
          <w:bCs/>
          <w:b/>
        </w:rPr>
        <w:t xml:space="preserve">Consultant:</w:t>
      </w:r>
      <w:r>
        <w:t xml:space="preserve"> </w:t>
      </w:r>
      <w:r>
        <w:t xml:space="preserve">sfrdqiytml, Senior Sustainability Consultant</w:t>
      </w:r>
    </w:p>
    <w:p>
      <w:pPr>
        <w:pStyle w:val="BodyText"/>
      </w:pPr>
      <w:r>
        <w:rPr>
          <w:bCs/>
          <w:b/>
        </w:rPr>
        <w:t xml:space="preserve">Company:</w:t>
      </w:r>
      <w:r>
        <w:t xml:space="preserve"> </w:t>
      </w:r>
      <w:r>
        <w:t xml:space="preserve">dpfsfekqit</w:t>
      </w:r>
    </w:p>
    <w:p>
      <w:r>
        <w:pict>
          <v:rect style="width:0;height:1.5pt" o:hralign="center" o:hrstd="t" o:hr="t"/>
        </w:pict>
      </w:r>
    </w:p>
    <w:bookmarkEnd w:id="21"/>
    <w:bookmarkEnd w:id="22"/>
    <w:bookmarkStart w:id="23"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wizgqpxqrw</w:t>
      </w:r>
      <w:r>
        <w:t xml:space="preserve">,</w:t>
      </w:r>
      <w:r>
        <w:t xml:space="preserve"> </w:t>
      </w:r>
      <w:r>
        <w:t xml:space="preserve">commissioned by</w:t>
      </w:r>
      <w:r>
        <w:t xml:space="preserve"> </w:t>
      </w:r>
      <w:r>
        <w:rPr>
          <w:bCs/>
          <w:b/>
        </w:rPr>
        <w:t xml:space="preserve">dpfsfekqit</w:t>
      </w:r>
      <w:r>
        <w:t xml:space="preserve"> </w:t>
      </w:r>
      <w:r>
        <w:t xml:space="preserve">and conducted by</w:t>
      </w:r>
      <w:r>
        <w:t xml:space="preserve"> </w:t>
      </w:r>
      <w:r>
        <w:rPr>
          <w:bCs/>
          <w:b/>
        </w:rPr>
        <w:t xml:space="preserve">sfrdqiytml</w:t>
      </w:r>
      <w:r>
        <w:t xml:space="preserve">, Senior Sustainability Consultant.</w:t>
      </w:r>
      <w:r>
        <w:t xml:space="preserve"> </w:t>
      </w:r>
      <w:r>
        <w:t xml:space="preserve">The analysis adheres to the GHG Protocol standards, providing a comprehensive assessment of greenhouse gas (GHG)</w:t>
      </w:r>
      <w:r>
        <w:t xml:space="preserve"> </w:t>
      </w:r>
      <w:r>
        <w:t xml:space="preserve">emissions across the product\'s lifecycle from raw material acquisition to end-of-life. Key emission hotspots have</w:t>
      </w:r>
      <w:r>
        <w:t xml:space="preserve"> </w:t>
      </w:r>
      <w:r>
        <w:t xml:space="preserve">been identified, and recommendations for emission reduction are provided, ensuring compliance with 2026</w:t>
      </w:r>
      <w:r>
        <w:t xml:space="preserve"> </w:t>
      </w:r>
      <w:r>
        <w:t xml:space="preserve">GHG Protocol requirements including the Land Sector and Removals (LSR) Standard and stringent Scope 3 coverage.</w:t>
      </w:r>
    </w:p>
    <w:p>
      <w:r>
        <w:pict>
          <v:rect style="width:0;height:1.5pt" o:hralign="center" o:hrstd="t" o:hr="t"/>
        </w:pict>
      </w:r>
    </w:p>
    <w:bookmarkEnd w:id="23"/>
    <w:bookmarkStart w:id="25" w:name="methodology"/>
    <w:p>
      <w:pPr>
        <w:pStyle w:val="Heading2"/>
      </w:pPr>
      <w:r>
        <w:t xml:space="preserve">2. Methodology</w:t>
      </w:r>
    </w:p>
    <w:p>
      <w:pPr>
        <w:pStyle w:val="FirstParagraph"/>
      </w:pPr>
      <w:r>
        <w:t xml:space="preserve">The PCF analysis for</w:t>
      </w:r>
      <w:r>
        <w:t xml:space="preserve"> </w:t>
      </w:r>
      <w:r>
        <w:rPr>
          <w:bCs/>
          <w:b/>
        </w:rPr>
        <w:t xml:space="preserve">wizgqpxqrw</w:t>
      </w:r>
      <w:r>
        <w:t xml:space="preserve"> </w:t>
      </w:r>
      <w:r>
        <w:t xml:space="preserve">follows a cradle-to-grave lifecycle assessment approach,</w:t>
      </w:r>
      <w:r>
        <w:t xml:space="preserve"> </w:t>
      </w:r>
      <w:r>
        <w:t xml:space="preserve">structured according to the five-step methodology recommended by the GHG Protocol Product Standard:</w:t>
      </w:r>
    </w:p>
    <w:p>
      <w:pPr>
        <w:numPr>
          <w:ilvl w:val="0"/>
          <w:numId w:val="1001"/>
        </w:numPr>
        <w:pStyle w:val="Compact"/>
      </w:pPr>
      <w:r>
        <w:rPr>
          <w:bCs/>
          <w:b/>
        </w:rPr>
        <w:t xml:space="preserve">1. Define Scope:</w:t>
      </w:r>
      <w:r>
        <w:t xml:space="preserve"> </w:t>
      </w:r>
      <w:r>
        <w:t xml:space="preserve">Establishing the functional unit, system boundaries, geographic scope, and allocation principles.</w:t>
      </w:r>
    </w:p>
    <w:p>
      <w:pPr>
        <w:numPr>
          <w:ilvl w:val="0"/>
          <w:numId w:val="1001"/>
        </w:numPr>
        <w:pStyle w:val="Compact"/>
      </w:pPr>
      <w:r>
        <w:rPr>
          <w:bCs/>
          <w:b/>
        </w:rPr>
        <w:t xml:space="preserve">2. Map Lifecycle:</w:t>
      </w:r>
      <w:r>
        <w:t xml:space="preserve"> </w:t>
      </w:r>
      <w:r>
        <w:t xml:space="preserve">Identifying all relevant stages in the product\'s life cycle and their associated processes (Life Cycle Inventory - LCI).</w:t>
      </w:r>
    </w:p>
    <w:p>
      <w:pPr>
        <w:numPr>
          <w:ilvl w:val="0"/>
          <w:numId w:val="1001"/>
        </w:numPr>
        <w:pStyle w:val="Compact"/>
      </w:pPr>
      <w:r>
        <w:rPr>
          <w:bCs/>
          <w:b/>
        </w:rPr>
        <w:t xml:space="preserve">3. Collect Data:</w:t>
      </w:r>
      <w:r>
        <w:t xml:space="preserve"> </w:t>
      </w:r>
      <w:r>
        <w:t xml:space="preserve">Gathering primary and secondary data points for material inputs, energy consumption, transport, and waste.</w:t>
      </w:r>
    </w:p>
    <w:p>
      <w:pPr>
        <w:numPr>
          <w:ilvl w:val="0"/>
          <w:numId w:val="1001"/>
        </w:numPr>
        <w:pStyle w:val="Compact"/>
      </w:pPr>
      <w:r>
        <w:rPr>
          <w:bCs/>
          <w:b/>
        </w:rPr>
        <w:t xml:space="preserve">4. Calculate Emissions:</w:t>
      </w:r>
      <w:r>
        <w:t xml:space="preserve"> </w:t>
      </w:r>
      <w:r>
        <w:t xml:space="preserve">Quantifying GHG emissions by multiplying activity data with appropriate emission factors.</w:t>
      </w:r>
    </w:p>
    <w:p>
      <w:pPr>
        <w:numPr>
          <w:ilvl w:val="0"/>
          <w:numId w:val="1001"/>
        </w:numPr>
        <w:pStyle w:val="Compact"/>
      </w:pPr>
      <w:r>
        <w:rPr>
          <w:bCs/>
          <w:b/>
        </w:rPr>
        <w:t xml:space="preserve">5. Review &amp; Report:</w:t>
      </w:r>
      <w:r>
        <w:t xml:space="preserve"> </w:t>
      </w:r>
      <w:r>
        <w:t xml:space="preserve">Analyzing results, identifying hotspots, assessing reliability, and presenting findings and recommendations.</w:t>
      </w:r>
    </w:p>
    <w:bookmarkStart w:id="24" w:name="Xa0167153afb08617bc1ef66f877fb2c58fdaeda"/>
    <w:p>
      <w:pPr>
        <w:pStyle w:val="Heading3"/>
      </w:pPr>
      <w:r>
        <w:t xml:space="preserve">2.1 Adherence to GHG Protocol and 2026 LSR Update</w:t>
      </w:r>
    </w:p>
    <w:p>
      <w:pPr>
        <w:pStyle w:val="FirstParagraph"/>
      </w:pPr>
      <w:r>
        <w:t xml:space="preserve">Emissions are categorized into Scope 1 (direct emissions from owned or controlled sources), Scope 2 (indirect</w:t>
      </w:r>
      <w:r>
        <w:t xml:space="preserve"> </w:t>
      </w:r>
      <w:r>
        <w:t xml:space="preserve">emissions from the generation of purchased energy), and Scope 3 (all other indirect emissions in the value chain).</w:t>
      </w:r>
      <w:r>
        <w:t xml:space="preserve"> </w:t>
      </w:r>
      <w:r>
        <w:t xml:space="preserve">For this product carbon footprint, given that</w:t>
      </w:r>
      <w:r>
        <w:t xml:space="preserve"> </w:t>
      </w:r>
      <w:r>
        <w:rPr>
          <w:bCs/>
          <w:b/>
        </w:rPr>
        <w:t xml:space="preserve">dpfsfekqit</w:t>
      </w:r>
      <w:r>
        <w:t xml:space="preserve"> </w:t>
      </w:r>
      <w:r>
        <w:t xml:space="preserve">is assumed to outsource manufacturing,</w:t>
      </w:r>
      <w:r>
        <w:t xml:space="preserve"> </w:t>
      </w:r>
      <w:r>
        <w:t xml:space="preserve">most emissions fall under Scope 3. The analysis aims for at least 95% coverage for Scope 3 reporting, in line with</w:t>
      </w:r>
      <w:r>
        <w:t xml:space="preserve"> </w:t>
      </w:r>
      <w:r>
        <w:t xml:space="preserve">2026 requirements. The Land Sector and Removals (LSR) Standard is acknowledged, and while specific land use</w:t>
      </w:r>
      <w:r>
        <w:t xml:space="preserve"> </w:t>
      </w:r>
      <w:r>
        <w:t xml:space="preserve">change data for each raw material is beyond the scope of this generic product analysis, the methodology</w:t>
      </w:r>
      <w:r>
        <w:t xml:space="preserve"> </w:t>
      </w:r>
      <w:r>
        <w:t xml:space="preserve">incorporates the principle of accounting for land-based emissions and removals where explicit data is available or</w:t>
      </w:r>
      <w:r>
        <w:t xml:space="preserve"> </w:t>
      </w:r>
      <w:r>
        <w:t xml:space="preserve">can be reasonably estimated.</w:t>
      </w:r>
    </w:p>
    <w:p>
      <w:r>
        <w:pict>
          <v:rect style="width:0;height:1.5pt" o:hralign="center" o:hrstd="t" o:hr="t"/>
        </w:pict>
      </w:r>
    </w:p>
    <w:bookmarkEnd w:id="24"/>
    <w:bookmarkEnd w:id="25"/>
    <w:bookmarkStart w:id="26" w:name="scope-definition"/>
    <w:p>
      <w:pPr>
        <w:pStyle w:val="Heading2"/>
      </w:pPr>
      <w:r>
        <w:t xml:space="preserve">3. Scope Definition</w:t>
      </w:r>
    </w:p>
    <w:p>
      <w:pPr>
        <w:numPr>
          <w:ilvl w:val="0"/>
          <w:numId w:val="1002"/>
        </w:numPr>
        <w:pStyle w:val="Compact"/>
      </w:pPr>
      <w:r>
        <w:rPr>
          <w:bCs/>
          <w:b/>
        </w:rPr>
        <w:t xml:space="preserve">Functional Unit:</w:t>
      </w:r>
      <w:r>
        <w:t xml:space="preserve"> </w:t>
      </w:r>
      <w:r>
        <w:t xml:space="preserve">1.0 unit of</w:t>
      </w:r>
      <w:r>
        <w:t xml:space="preserve"> </w:t>
      </w:r>
      <w:r>
        <w:rPr>
          <w:bCs/>
          <w:b/>
        </w:rPr>
        <w:t xml:space="preserve">wizgqpxqrw</w:t>
      </w:r>
    </w:p>
    <w:p>
      <w:pPr>
        <w:numPr>
          <w:ilvl w:val="0"/>
          <w:numId w:val="1002"/>
        </w:numPr>
        <w:pStyle w:val="Compact"/>
      </w:pPr>
      <w:r>
        <w:rPr>
          <w:bCs/>
          <w:b/>
        </w:rPr>
        <w:t xml:space="preserve">System Boundary:</w:t>
      </w:r>
      <w:r>
        <w:t xml:space="preserve"> </w:t>
      </w:r>
      <w:r>
        <w:t xml:space="preserve">Cradle-to-grave. While the manufacturing process boundary is defined as "factory_gate" for detailed production emissions, the overall analysis extends to cover downstream stages including distribution, use, and end-of-life as per reporting requirements.</w:t>
      </w:r>
    </w:p>
    <w:p>
      <w:pPr>
        <w:numPr>
          <w:ilvl w:val="0"/>
          <w:numId w:val="1002"/>
        </w:numPr>
        <w:pStyle w:val="Compact"/>
      </w:pPr>
      <w:r>
        <w:rPr>
          <w:bCs/>
          <w:b/>
        </w:rPr>
        <w:t xml:space="preserve">Geographic Scope:</w:t>
      </w:r>
      <w:r>
        <w:t xml:space="preserve"> </w:t>
      </w:r>
      <w:r>
        <w:t xml:space="preserve">Final Production Country: China; Supply Chain Focus: Europe Focused (for distribution and use).</w:t>
      </w:r>
    </w:p>
    <w:p>
      <w:pPr>
        <w:numPr>
          <w:ilvl w:val="0"/>
          <w:numId w:val="1002"/>
        </w:numPr>
        <w:pStyle w:val="Compact"/>
      </w:pPr>
      <w:r>
        <w:rPr>
          <w:bCs/>
          <w:b/>
        </w:rPr>
        <w:t xml:space="preserve">Accounting Standard:</w:t>
      </w:r>
      <w:r>
        <w:t xml:space="preserve"> </w:t>
      </w:r>
      <w:r>
        <w:t xml:space="preserve">GHG Protocol Product Standard</w:t>
      </w:r>
    </w:p>
    <w:p>
      <w:pPr>
        <w:numPr>
          <w:ilvl w:val="0"/>
          <w:numId w:val="1002"/>
        </w:numPr>
        <w:pStyle w:val="Compact"/>
      </w:pPr>
      <w:r>
        <w:rPr>
          <w:bCs/>
          <w:b/>
        </w:rPr>
        <w:t xml:space="preserve">Allocation:</w:t>
      </w:r>
      <w:r>
        <w:t xml:space="preserve"> </w:t>
      </w:r>
      <w:r>
        <w:t xml:space="preserve">Emissions are directly allocated to the functional unit (1.0 unit of wizgqpxqrw).</w:t>
      </w:r>
    </w:p>
    <w:p>
      <w:r>
        <w:pict>
          <v:rect style="width:0;height:1.5pt" o:hralign="center" o:hrstd="t" o:hr="t"/>
        </w:pict>
      </w:r>
    </w:p>
    <w:bookmarkEnd w:id="26"/>
    <w:bookmarkStart w:id="32" w:name="X1b7031aaf9d3ec7631c8b88e4e268c4190343e5"/>
    <w:p>
      <w:pPr>
        <w:pStyle w:val="Heading2"/>
      </w:pPr>
      <w:r>
        <w:t xml:space="preserve">4. Lifecycle Mapping &amp; Data Collection (Steps 2 &amp; 3)</w:t>
      </w:r>
    </w:p>
    <w:p>
      <w:pPr>
        <w:pStyle w:val="FirstParagraph"/>
      </w:pPr>
      <w:r>
        <w:t xml:space="preserve">This section details the inputs and processes for each lifecycle stage, utilizing the provided data and making</w:t>
      </w:r>
      <w:r>
        <w:t xml:space="preserve"> </w:t>
      </w:r>
      <w:r>
        <w:t xml:space="preserve">necessary assumptions for calculation.</w:t>
      </w:r>
    </w:p>
    <w:bookmarkStart w:id="27" w:name="X4dafafe4a63eba5025fca8fd479a2f5da492c68"/>
    <w:p>
      <w:pPr>
        <w:pStyle w:val="Heading3"/>
      </w:pPr>
      <w:r>
        <w:t xml:space="preserve">4.1 Material Acquisition &amp; Pre-processing (Upstream - Scope 3, Category 1)</w:t>
      </w:r>
    </w:p>
    <w:p>
      <w:pPr>
        <w:pStyle w:val="FirstParagraph"/>
      </w:pPr>
      <w:r>
        <w:t xml:space="preserve">The Detailed Bill of Materials (BOM) for</w:t>
      </w:r>
      <w:r>
        <w:t xml:space="preserve"> </w:t>
      </w:r>
      <w:r>
        <w:rPr>
          <w:bCs/>
          <w:b/>
        </w:rPr>
        <w:t xml:space="preserve">wizgqpxqrw</w:t>
      </w:r>
      <w:r>
        <w:t xml:space="preserve"> </w:t>
      </w:r>
      <w:r>
        <w:t xml:space="preserve">(provided as \'torrxmgk\') is used to</w:t>
      </w:r>
      <w:r>
        <w:t xml:space="preserve"> </w:t>
      </w:r>
      <w:r>
        <w:t xml:space="preserve">calculate the material-related emissions. The \'Total Carbon\' value for each item, which represents its cradle-to-gate</w:t>
      </w:r>
      <w:r>
        <w:t xml:space="preserve"> </w:t>
      </w:r>
      <w:r>
        <w:t xml:space="preserve">carbon footprint, is directly used.</w:t>
      </w:r>
    </w:p>
    <w:p>
      <w:pPr>
        <w:pStyle w:val="BodyText"/>
      </w:pPr>
      <w:r>
        <w:rPr>
          <w:bCs/>
          <w:b/>
        </w:rPr>
        <w:t xml:space="preserve">Assumed Detailed Bill of Materials (BOM) based on provided format: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10.00</w:t>
            </w:r>
          </w:p>
        </w:tc>
      </w:tr>
      <w:tr>
        <w:tc>
          <w:tcPr/>
          <w:p>
            <w:pPr>
              <w:pStyle w:val="Compact"/>
              <w:jc w:val="left"/>
            </w:pPr>
            <w:r>
              <w:t xml:space="preserve">102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103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104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105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Processing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7"/>
          </w:tcPr>
          <w:p>
            <w:pPr>
              <w:pStyle w:val="Compact"/>
              <w:jc w:val="left"/>
            </w:pPr>
            <w:r>
              <w:rPr>
                <w:bCs/>
                <w:b/>
              </w:rPr>
              <w:t xml:space="preserve">Total Material Carbon Footprint</w:t>
            </w:r>
          </w:p>
        </w:tc>
        <w:tc>
          <w:tcPr/>
          <w:p>
            <w:pPr>
              <w:pStyle w:val="Compact"/>
              <w:jc w:val="left"/>
            </w:pPr>
            <w:r>
              <w:rPr>
                <w:bCs/>
                <w:b/>
              </w:rPr>
              <w:t xml:space="preserve">15.65 kg CO2e</w:t>
            </w:r>
          </w:p>
        </w:tc>
      </w:tr>
      <w:tr>
        <w:tc>
          <w:tcPr>
            <w:gridSpan w:val="7"/>
          </w:tcPr>
          <w:p>
            <w:pPr>
              <w:pStyle w:val="Compact"/>
              <w:jc w:val="left"/>
            </w:pPr>
            <w:r>
              <w:rPr>
                <w:bCs/>
                <w:b/>
              </w:rPr>
              <w:t xml:space="preserve">Total Product Weight (approx.)</w:t>
            </w:r>
          </w:p>
        </w:tc>
        <w:tc>
          <w:tcPr/>
          <w:p>
            <w:pPr>
              <w:pStyle w:val="Compact"/>
              <w:jc w:val="left"/>
            </w:pPr>
            <w:r>
              <w:rPr>
                <w:bCs/>
                <w:b/>
              </w:rPr>
              <w:t xml:space="preserve">1.2 kg</w:t>
            </w:r>
          </w:p>
        </w:tc>
      </w:tr>
    </w:tbl>
    <w:bookmarkEnd w:id="27"/>
    <w:bookmarkStart w:id="28" w:name="X1f83cc6e49b063f8bdcef38332bc90ed18f19b4"/>
    <w:p>
      <w:pPr>
        <w:pStyle w:val="Heading3"/>
      </w:pPr>
      <w:r>
        <w:t xml:space="preserve">4.2 Production Phase (Manufacturing - Scope 3, Category 1)</w:t>
      </w:r>
    </w:p>
    <w:p>
      <w:pPr>
        <w:pStyle w:val="FirstParagraph"/>
      </w:pPr>
      <w:r>
        <w:t xml:space="preserve">Emissions from the manufacturing process in China are calculated based on energy intensity and renewable energy usage.</w:t>
      </w:r>
    </w:p>
    <w:p>
      <w:pPr>
        <w:numPr>
          <w:ilvl w:val="0"/>
          <w:numId w:val="1003"/>
        </w:numPr>
        <w:pStyle w:val="Compact"/>
      </w:pPr>
      <w:r>
        <w:rPr>
          <w:bCs/>
          <w:b/>
        </w:rPr>
        <w:t xml:space="preserve">Energy Intensity (kWh/unit):</w:t>
      </w:r>
      <w:r>
        <w:t xml:space="preserve"> </w:t>
      </w:r>
      <w:r>
        <w:t xml:space="preserve">`okfoqndqxh` (assumed 25 kWh/unit for calculation).</w:t>
      </w:r>
    </w:p>
    <w:p>
      <w:pPr>
        <w:numPr>
          <w:ilvl w:val="0"/>
          <w:numId w:val="1003"/>
        </w:numPr>
        <w:pStyle w:val="Compact"/>
      </w:pPr>
      <w:r>
        <w:rPr>
          <w:bCs/>
          <w:b/>
        </w:rPr>
        <w:t xml:space="preserve">Renewable Energy Usage:</w:t>
      </w:r>
      <w:r>
        <w:t xml:space="preserve"> </w:t>
      </w:r>
      <w:r>
        <w:t xml:space="preserve">`emuxzmvnfq` (assumed 75% for calculation).</w:t>
      </w:r>
    </w:p>
    <w:p>
      <w:pPr>
        <w:numPr>
          <w:ilvl w:val="0"/>
          <w:numId w:val="1003"/>
        </w:numPr>
        <w:pStyle w:val="Compact"/>
      </w:pPr>
      <w:r>
        <w:rPr>
          <w:bCs/>
          <w:b/>
        </w:rPr>
        <w:t xml:space="preserve">Non-renewable energy:</w:t>
      </w:r>
      <w:r>
        <w:t xml:space="preserve"> </w:t>
      </w:r>
      <w:r>
        <w:t xml:space="preserve">25 kWh/unit * (1 - 0.75) = 6.25 kWh/unit.</w:t>
      </w:r>
    </w:p>
    <w:p>
      <w:pPr>
        <w:numPr>
          <w:ilvl w:val="0"/>
          <w:numId w:val="1003"/>
        </w:numPr>
        <w:pStyle w:val="Compact"/>
      </w:pPr>
      <w:r>
        <w:rPr>
          <w:bCs/>
          <w:b/>
        </w:rPr>
        <w:t xml:space="preserve">Emission Factor (China Grid Electricity):</w:t>
      </w:r>
      <w:r>
        <w:t xml:space="preserve"> </w:t>
      </w:r>
      <w:r>
        <w:t xml:space="preserve">0.65 kg CO2e/kWh (average proxy based on current China grid mix data, acknowledging provincial variations).</w:t>
      </w:r>
    </w:p>
    <w:p>
      <w:pPr>
        <w:numPr>
          <w:ilvl w:val="0"/>
          <w:numId w:val="1003"/>
        </w:numPr>
        <w:pStyle w:val="Compact"/>
      </w:pPr>
      <w:r>
        <w:rPr>
          <w:bCs/>
          <w:b/>
        </w:rPr>
        <w:t xml:space="preserve">Renewable Energy Emissions:</w:t>
      </w:r>
      <w:r>
        <w:t xml:space="preserve"> </w:t>
      </w:r>
      <w:r>
        <w:t xml:space="preserve">Assumed 0 kg CO2e/kWh for certified renewable electricity.</w:t>
      </w:r>
    </w:p>
    <w:bookmarkEnd w:id="28"/>
    <w:bookmarkStart w:id="29" w:name="X98698ba1aadfea131da2edc4c9518da8f36e216"/>
    <w:p>
      <w:pPr>
        <w:pStyle w:val="Heading3"/>
      </w:pPr>
      <w:r>
        <w:t xml:space="preserve">4.3 Transport (Distribution - Scope 3, Category 9)</w:t>
      </w:r>
    </w:p>
    <w:p>
      <w:pPr>
        <w:pStyle w:val="FirstParagraph"/>
      </w:pPr>
      <w:r>
        <w:t xml:space="preserve">Logistics data includes primary transport from the factory in China to a distribution hub in Europe, and last-mile delivery.</w:t>
      </w:r>
    </w:p>
    <w:p>
      <w:pPr>
        <w:numPr>
          <w:ilvl w:val="0"/>
          <w:numId w:val="1004"/>
        </w:numPr>
        <w:pStyle w:val="Compact"/>
      </w:pPr>
      <w:r>
        <w:rPr>
          <w:bCs/>
          <w:b/>
        </w:rPr>
        <w:t xml:space="preserve">Transport Mode (Primary):</w:t>
      </w:r>
      <w:r>
        <w:t xml:space="preserve"> </w:t>
      </w:r>
      <w:r>
        <w:t xml:space="preserve">`Select Mode` (assumed Road Freight (HGV) for calculation).</w:t>
      </w:r>
    </w:p>
    <w:p>
      <w:pPr>
        <w:numPr>
          <w:ilvl w:val="0"/>
          <w:numId w:val="1004"/>
        </w:numPr>
        <w:pStyle w:val="Compact"/>
      </w:pPr>
      <w:r>
        <w:rPr>
          <w:bCs/>
          <w:b/>
        </w:rPr>
        <w:t xml:space="preserve">Transport Distance (Primary):</w:t>
      </w:r>
      <w:r>
        <w:t xml:space="preserve"> </w:t>
      </w:r>
      <w:r>
        <w:t xml:space="preserve">`izuiskkwlt` (assumed 1500 km from China to Europe distribution hub for calculation).</w:t>
      </w:r>
    </w:p>
    <w:p>
      <w:pPr>
        <w:numPr>
          <w:ilvl w:val="0"/>
          <w:numId w:val="1004"/>
        </w:numPr>
        <w:pStyle w:val="Compact"/>
      </w:pPr>
      <w:r>
        <w:rPr>
          <w:bCs/>
          <w:b/>
        </w:rPr>
        <w:t xml:space="preserve">Product Weight for Transport:</w:t>
      </w:r>
      <w:r>
        <w:t xml:space="preserve"> </w:t>
      </w:r>
      <w:r>
        <w:t xml:space="preserve">1.2 kg (from BOM).</w:t>
      </w:r>
    </w:p>
    <w:p>
      <w:pPr>
        <w:numPr>
          <w:ilvl w:val="0"/>
          <w:numId w:val="1004"/>
        </w:numPr>
        <w:pStyle w:val="Compact"/>
      </w:pPr>
      <w:r>
        <w:rPr>
          <w:bCs/>
          <w:b/>
        </w:rPr>
        <w:t xml:space="preserve">Emission Factor (Road Freight HGV):</w:t>
      </w:r>
      <w:r>
        <w:t xml:space="preserve"> </w:t>
      </w:r>
      <w:r>
        <w:t xml:space="preserve">0.1 kg CO2e/tkm (tonne-kilometer).</w:t>
      </w:r>
    </w:p>
    <w:p>
      <w:pPr>
        <w:numPr>
          <w:ilvl w:val="0"/>
          <w:numId w:val="1004"/>
        </w:numPr>
        <w:pStyle w:val="Compact"/>
      </w:pPr>
      <w:r>
        <w:rPr>
          <w:bCs/>
          <w:b/>
        </w:rPr>
        <w:t xml:space="preserve">Last-Mile Delivery Channel:</w:t>
      </w:r>
      <w:r>
        <w:t xml:space="preserve"> </w:t>
      </w:r>
      <w:r>
        <w:t xml:space="preserve">`Delivery Type` (assumed Parcel Van for calculation).</w:t>
      </w:r>
    </w:p>
    <w:p>
      <w:pPr>
        <w:numPr>
          <w:ilvl w:val="0"/>
          <w:numId w:val="1004"/>
        </w:numPr>
        <w:pStyle w:val="Compact"/>
      </w:pPr>
      <w:r>
        <w:rPr>
          <w:bCs/>
          <w:b/>
        </w:rPr>
        <w:t xml:space="preserve">Last-Mile Delivery Distance (assumed):</w:t>
      </w:r>
      <w:r>
        <w:t xml:space="preserve"> </w:t>
      </w:r>
      <w:r>
        <w:t xml:space="preserve">50 km (typical last-mile distance for calculation).</w:t>
      </w:r>
    </w:p>
    <w:p>
      <w:pPr>
        <w:numPr>
          <w:ilvl w:val="0"/>
          <w:numId w:val="1004"/>
        </w:numPr>
        <w:pStyle w:val="Compact"/>
      </w:pPr>
      <w:r>
        <w:rPr>
          <w:bCs/>
          <w:b/>
        </w:rPr>
        <w:t xml:space="preserve">Emission Factor (Parcel Van):</w:t>
      </w:r>
      <w:r>
        <w:t xml:space="preserve"> </w:t>
      </w:r>
      <w:r>
        <w:t xml:space="preserve">0.24 kg CO2e/km.</w:t>
      </w:r>
    </w:p>
    <w:bookmarkEnd w:id="29"/>
    <w:bookmarkStart w:id="30" w:name="use-phase-scope-3-category-11"/>
    <w:p>
      <w:pPr>
        <w:pStyle w:val="Heading3"/>
      </w:pPr>
      <w:r>
        <w:t xml:space="preserve">4.4 Use Phase (Scope 3, Category 11)</w:t>
      </w:r>
    </w:p>
    <w:p>
      <w:pPr>
        <w:pStyle w:val="FirstParagraph"/>
      </w:pPr>
      <w:r>
        <w:t xml:space="preserve">The use phase emissions are calculated based on the product\'s lifespan and energy consumption during use.</w:t>
      </w:r>
    </w:p>
    <w:p>
      <w:pPr>
        <w:numPr>
          <w:ilvl w:val="0"/>
          <w:numId w:val="1005"/>
        </w:numPr>
        <w:pStyle w:val="Compact"/>
      </w:pPr>
      <w:r>
        <w:rPr>
          <w:bCs/>
          <w:b/>
        </w:rPr>
        <w:t xml:space="preserve">Product Lifespan:</w:t>
      </w:r>
      <w:r>
        <w:t xml:space="preserve"> </w:t>
      </w:r>
      <w:r>
        <w:t xml:space="preserve">`vvskentefy` (assumed 7 years for calculation).</w:t>
      </w:r>
    </w:p>
    <w:p>
      <w:pPr>
        <w:numPr>
          <w:ilvl w:val="0"/>
          <w:numId w:val="1005"/>
        </w:numPr>
        <w:pStyle w:val="Compact"/>
      </w:pPr>
      <w:r>
        <w:rPr>
          <w:bCs/>
          <w:b/>
        </w:rPr>
        <w:t xml:space="preserve">Energy Consumption in Use:</w:t>
      </w:r>
      <w:r>
        <w:t xml:space="preserve"> </w:t>
      </w:r>
      <w:r>
        <w:t xml:space="preserve">`qdidzqtsyz` (assumed 15 kWh/year for calculation).</w:t>
      </w:r>
    </w:p>
    <w:p>
      <w:pPr>
        <w:numPr>
          <w:ilvl w:val="0"/>
          <w:numId w:val="1005"/>
        </w:numPr>
        <w:pStyle w:val="Compact"/>
      </w:pPr>
      <w:r>
        <w:rPr>
          <w:bCs/>
          <w:b/>
        </w:rPr>
        <w:t xml:space="preserve">Total Energy Consumption (Use Phase):</w:t>
      </w:r>
      <w:r>
        <w:t xml:space="preserve"> </w:t>
      </w:r>
      <w:r>
        <w:t xml:space="preserve">15 kWh/year * 7 years = 105 kWh.</w:t>
      </w:r>
    </w:p>
    <w:p>
      <w:pPr>
        <w:numPr>
          <w:ilvl w:val="0"/>
          <w:numId w:val="1005"/>
        </w:numPr>
        <w:pStyle w:val="Compact"/>
      </w:pPr>
      <w:r>
        <w:rPr>
          <w:bCs/>
          <w:b/>
        </w:rPr>
        <w:t xml:space="preserve">Emission Factor (Europe Grid Electricity):</w:t>
      </w:r>
      <w:r>
        <w:t xml:space="preserve"> </w:t>
      </w:r>
      <w:r>
        <w:t xml:space="preserve">0.27 kg CO2e/kWh (proxy for average EU electricity mix).</w:t>
      </w:r>
    </w:p>
    <w:bookmarkEnd w:id="30"/>
    <w:bookmarkStart w:id="31" w:name="X210143e50433bf4e7687bdfefe45c681f300a44"/>
    <w:p>
      <w:pPr>
        <w:pStyle w:val="Heading3"/>
      </w:pPr>
      <w:r>
        <w:t xml:space="preserve">4.5 End-of-Life (EoL) Phase (Scope 3, Category 12)</w:t>
      </w:r>
    </w:p>
    <w:p>
      <w:pPr>
        <w:pStyle w:val="FirstParagraph"/>
      </w:pPr>
      <w:r>
        <w:t xml:space="preserve">EoL scenarios incorporate recyclability and circular economy programs.</w:t>
      </w:r>
    </w:p>
    <w:p>
      <w:pPr>
        <w:numPr>
          <w:ilvl w:val="0"/>
          <w:numId w:val="1006"/>
        </w:numPr>
        <w:pStyle w:val="Compact"/>
      </w:pPr>
      <w:r>
        <w:rPr>
          <w:bCs/>
          <w:b/>
        </w:rPr>
        <w:t xml:space="preserve">Recyclability Percentage:</w:t>
      </w:r>
      <w:r>
        <w:t xml:space="preserve"> </w:t>
      </w:r>
      <w:r>
        <w:t xml:space="preserve">`plwfnophku` (assumed 60% for calculation).</w:t>
      </w:r>
    </w:p>
    <w:p>
      <w:pPr>
        <w:numPr>
          <w:ilvl w:val="0"/>
          <w:numId w:val="1006"/>
        </w:numPr>
        <w:pStyle w:val="Compact"/>
      </w:pPr>
      <w:r>
        <w:rPr>
          <w:bCs/>
          <w:b/>
        </w:rPr>
        <w:t xml:space="preserve">Circular/Take-back Programs:</w:t>
      </w:r>
      <w:r>
        <w:t xml:space="preserve"> </w:t>
      </w:r>
      <w:r>
        <w:t xml:space="preserve">`pxgyzvtxzr` (e.g., "Product take-back and refurbishment program").</w:t>
      </w:r>
    </w:p>
    <w:p>
      <w:pPr>
        <w:numPr>
          <w:ilvl w:val="0"/>
          <w:numId w:val="1006"/>
        </w:numPr>
        <w:pStyle w:val="Compact"/>
      </w:pPr>
      <w:r>
        <w:rPr>
          <w:bCs/>
          <w:b/>
        </w:rPr>
        <w:t xml:space="preserve">Total Product Weight for EoL:</w:t>
      </w:r>
      <w:r>
        <w:t xml:space="preserve"> </w:t>
      </w:r>
      <w:r>
        <w:t xml:space="preserve">1.2 kg.</w:t>
      </w:r>
    </w:p>
    <w:p>
      <w:pPr>
        <w:numPr>
          <w:ilvl w:val="0"/>
          <w:numId w:val="1006"/>
        </w:numPr>
        <w:pStyle w:val="Compact"/>
      </w:pPr>
      <w:r>
        <w:rPr>
          <w:bCs/>
          <w:b/>
        </w:rPr>
        <w:t xml:space="preserve">Recycled Weight:</w:t>
      </w:r>
      <w:r>
        <w:t xml:space="preserve"> </w:t>
      </w:r>
      <w:r>
        <w:t xml:space="preserve">1.2 kg * 0.60 = 0.72 kg.</w:t>
      </w:r>
    </w:p>
    <w:p>
      <w:pPr>
        <w:numPr>
          <w:ilvl w:val="0"/>
          <w:numId w:val="1006"/>
        </w:numPr>
        <w:pStyle w:val="Compact"/>
      </w:pPr>
      <w:r>
        <w:rPr>
          <w:bCs/>
          <w:b/>
        </w:rPr>
        <w:t xml:space="preserve">Disposed Weight:</w:t>
      </w:r>
      <w:r>
        <w:t xml:space="preserve"> </w:t>
      </w:r>
      <w:r>
        <w:t xml:space="preserve">1.2 kg * (1 - 0.60) = 0.48 kg.</w:t>
      </w:r>
    </w:p>
    <w:p>
      <w:pPr>
        <w:numPr>
          <w:ilvl w:val="0"/>
          <w:numId w:val="1006"/>
        </w:numPr>
        <w:pStyle w:val="Compact"/>
      </w:pPr>
      <w:r>
        <w:rPr>
          <w:bCs/>
          <w:b/>
        </w:rPr>
        <w:t xml:space="preserve">Emission Factor (EoL Recycling - Avoided Emissions):</w:t>
      </w:r>
      <w:r>
        <w:t xml:space="preserve"> </w:t>
      </w:r>
      <w:r>
        <w:t xml:space="preserve">-0.5 kg CO2e/kg (for replacing virgin materials, net benefit).</w:t>
      </w:r>
    </w:p>
    <w:p>
      <w:pPr>
        <w:numPr>
          <w:ilvl w:val="0"/>
          <w:numId w:val="1006"/>
        </w:numPr>
        <w:pStyle w:val="Compact"/>
      </w:pPr>
      <w:r>
        <w:rPr>
          <w:bCs/>
          <w:b/>
        </w:rPr>
        <w:t xml:space="preserve">Emission Factor (EoL Disposal - Landfill):</w:t>
      </w:r>
      <w:r>
        <w:t xml:space="preserve"> </w:t>
      </w:r>
      <w:r>
        <w:t xml:space="preserve">0.5 kg CO2e/kg (for mixed waste landfill).</w:t>
      </w:r>
    </w:p>
    <w:p>
      <w:r>
        <w:pict>
          <v:rect style="width:0;height:1.5pt" o:hralign="center" o:hrstd="t" o:hr="t"/>
        </w:pict>
      </w:r>
    </w:p>
    <w:bookmarkEnd w:id="31"/>
    <w:bookmarkEnd w:id="32"/>
    <w:bookmarkStart w:id="39" w:name="emissions-calculation-step-4"/>
    <w:p>
      <w:pPr>
        <w:pStyle w:val="Heading2"/>
      </w:pPr>
      <w:r>
        <w:t xml:space="preserve">5. Emissions Calculation (Step 4)</w:t>
      </w:r>
    </w:p>
    <w:p>
      <w:pPr>
        <w:pStyle w:val="FirstParagraph"/>
      </w:pPr>
      <w:r>
        <w:t xml:space="preserve">Emissions for each lifecycle stage are calculated as Activity Data multiplied by relevant Emission Factors.</w:t>
      </w:r>
      <w:r>
        <w:t xml:space="preserve"> </w:t>
      </w:r>
      <w:r>
        <w:t xml:space="preserve">All emissions are presented in kg CO2e.</w:t>
      </w:r>
    </w:p>
    <w:bookmarkStart w:id="33" w:name="material-acquisition-scope-3-category-1"/>
    <w:p>
      <w:pPr>
        <w:pStyle w:val="Heading3"/>
      </w:pPr>
      <w:r>
        <w:t xml:space="preserve">5.1 Material Acquisition (Scope 3, Category 1)</w:t>
      </w:r>
    </w:p>
    <w:p>
      <w:pPr>
        <w:pStyle w:val="FirstParagraph"/>
      </w:pPr>
      <w:r>
        <w:t xml:space="preserve">Total carbon from BOM:</w:t>
      </w:r>
      <w:r>
        <w:t xml:space="preserve"> </w:t>
      </w:r>
      <w:r>
        <w:rPr>
          <w:bCs/>
          <w:b/>
        </w:rPr>
        <w:t xml:space="preserve">15.65 kg CO2e</w:t>
      </w:r>
    </w:p>
    <w:bookmarkEnd w:id="33"/>
    <w:bookmarkStart w:id="34" w:name="production-phase-scope-3-category-1"/>
    <w:p>
      <w:pPr>
        <w:pStyle w:val="Heading3"/>
      </w:pPr>
      <w:r>
        <w:t xml:space="preserve">5.2 Production Phase (Scope 3, Category 1)</w:t>
      </w:r>
    </w:p>
    <w:p>
      <w:pPr>
        <w:numPr>
          <w:ilvl w:val="0"/>
          <w:numId w:val="1007"/>
        </w:numPr>
        <w:pStyle w:val="Compact"/>
      </w:pPr>
      <w:r>
        <w:t xml:space="preserve">Non-renewable energy consumption: 6.25 kWh/unit</w:t>
      </w:r>
    </w:p>
    <w:p>
      <w:pPr>
        <w:numPr>
          <w:ilvl w:val="0"/>
          <w:numId w:val="1007"/>
        </w:numPr>
        <w:pStyle w:val="Compact"/>
      </w:pPr>
      <w:r>
        <w:t xml:space="preserve">Emissions = 6.25 kWh/unit * 0.65 kg CO2e/kWh =</w:t>
      </w:r>
      <w:r>
        <w:t xml:space="preserve"> </w:t>
      </w:r>
      <w:r>
        <w:rPr>
          <w:bCs/>
          <w:b/>
        </w:rPr>
        <w:t xml:space="preserve">4.06 kg CO2e</w:t>
      </w:r>
    </w:p>
    <w:bookmarkEnd w:id="34"/>
    <w:bookmarkStart w:id="35" w:name="transport-scope-3-category-9"/>
    <w:p>
      <w:pPr>
        <w:pStyle w:val="Heading3"/>
      </w:pPr>
      <w:r>
        <w:t xml:space="preserve">5.3 Transport (Scope 3, Category 9)</w:t>
      </w:r>
    </w:p>
    <w:p>
      <w:pPr>
        <w:numPr>
          <w:ilvl w:val="0"/>
          <w:numId w:val="1008"/>
        </w:numPr>
        <w:pStyle w:val="Compact"/>
      </w:pPr>
      <w:r>
        <w:t xml:space="preserve">Primary Transport: 1.2 kg (product weight) * 1500 km (distance) * 0.1 kg CO2e/tkm = 180 kg CO2e (for 1 tonne, needs conversion).</w:t>
      </w:r>
      <w:r>
        <w:t xml:space="preserve"> </w:t>
      </w:r>
      <w:r>
        <w:t xml:space="preserve">Since the EF is kg CO2e/tkm, we need to convert product weight to tonnes: 1.2 kg = 0.0012 tonnes.</w:t>
      </w:r>
      <w:r>
        <w:t xml:space="preserve"> </w:t>
      </w:r>
      <w:r>
        <w:t xml:space="preserve">Primary Transport Emissions = 0.0012 tonnes * 1500 km * 0.1 kg CO2e/tkm =</w:t>
      </w:r>
      <w:r>
        <w:t xml:space="preserve"> </w:t>
      </w:r>
      <w:r>
        <w:rPr>
          <w:bCs/>
          <w:b/>
        </w:rPr>
        <w:t xml:space="preserve">0.18 kg CO2e</w:t>
      </w:r>
      <w:r>
        <w:t xml:space="preserve">.</w:t>
      </w:r>
    </w:p>
    <w:p>
      <w:pPr>
        <w:numPr>
          <w:ilvl w:val="0"/>
          <w:numId w:val="1008"/>
        </w:numPr>
        <w:pStyle w:val="Compact"/>
      </w:pPr>
      <w:r>
        <w:t xml:space="preserve">Last-Mile Delivery: 50 km (distance) * 0.24 kg CO2e/km =</w:t>
      </w:r>
      <w:r>
        <w:t xml:space="preserve"> </w:t>
      </w:r>
      <w:r>
        <w:rPr>
          <w:bCs/>
          <w:b/>
        </w:rPr>
        <w:t xml:space="preserve">12.00 kg CO2e</w:t>
      </w:r>
    </w:p>
    <w:p>
      <w:pPr>
        <w:numPr>
          <w:ilvl w:val="0"/>
          <w:numId w:val="1008"/>
        </w:numPr>
        <w:pStyle w:val="Compact"/>
      </w:pPr>
      <w:r>
        <w:rPr>
          <w:bCs/>
          <w:b/>
        </w:rPr>
        <w:t xml:space="preserve">Total Transport Emissions = 0.18 + 12.00 = 12.18 kg CO2e</w:t>
      </w:r>
    </w:p>
    <w:bookmarkEnd w:id="35"/>
    <w:bookmarkStart w:id="36" w:name="use-phase-scope-3-category-11-1"/>
    <w:p>
      <w:pPr>
        <w:pStyle w:val="Heading3"/>
      </w:pPr>
      <w:r>
        <w:t xml:space="preserve">5.4 Use Phase (Scope 3, Category 11)</w:t>
      </w:r>
    </w:p>
    <w:p>
      <w:pPr>
        <w:numPr>
          <w:ilvl w:val="0"/>
          <w:numId w:val="1009"/>
        </w:numPr>
        <w:pStyle w:val="Compact"/>
      </w:pPr>
      <w:r>
        <w:t xml:space="preserve">Total Energy Consumption: 105 kWh</w:t>
      </w:r>
    </w:p>
    <w:p>
      <w:pPr>
        <w:numPr>
          <w:ilvl w:val="0"/>
          <w:numId w:val="1009"/>
        </w:numPr>
        <w:pStyle w:val="Compact"/>
      </w:pPr>
      <w:r>
        <w:t xml:space="preserve">Emissions = 105 kWh * 0.27 kg CO2e/kWh =</w:t>
      </w:r>
      <w:r>
        <w:t xml:space="preserve"> </w:t>
      </w:r>
      <w:r>
        <w:rPr>
          <w:bCs/>
          <w:b/>
        </w:rPr>
        <w:t xml:space="preserve">28.35 kg CO2e</w:t>
      </w:r>
    </w:p>
    <w:bookmarkEnd w:id="36"/>
    <w:bookmarkStart w:id="37" w:name="Xf8e19df6a15d3d9a7fd3699229f2853bcc27d91"/>
    <w:p>
      <w:pPr>
        <w:pStyle w:val="Heading3"/>
      </w:pPr>
      <w:r>
        <w:t xml:space="preserve">5.5 End-of-Life (EoL) Phase (Scope 3, Category 12)</w:t>
      </w:r>
    </w:p>
    <w:p>
      <w:pPr>
        <w:numPr>
          <w:ilvl w:val="0"/>
          <w:numId w:val="1010"/>
        </w:numPr>
        <w:pStyle w:val="Compact"/>
      </w:pPr>
      <w:r>
        <w:t xml:space="preserve">Recycling Emissions/Avoided Emissions: 0.72 kg (recycled weight) * -0.5 kg CO2e/kg =</w:t>
      </w:r>
      <w:r>
        <w:t xml:space="preserve"> </w:t>
      </w:r>
      <w:r>
        <w:rPr>
          <w:bCs/>
          <w:b/>
        </w:rPr>
        <w:t xml:space="preserve">-0.36 kg CO2e</w:t>
      </w:r>
      <w:r>
        <w:t xml:space="preserve"> </w:t>
      </w:r>
      <w:r>
        <w:t xml:space="preserve">(avoided emissions).</w:t>
      </w:r>
    </w:p>
    <w:p>
      <w:pPr>
        <w:numPr>
          <w:ilvl w:val="0"/>
          <w:numId w:val="1010"/>
        </w:numPr>
        <w:pStyle w:val="Compact"/>
      </w:pPr>
      <w:r>
        <w:t xml:space="preserve">Disposal Emissions: 0.48 kg (disposed weight) * 0.5 kg CO2e/kg =</w:t>
      </w:r>
      <w:r>
        <w:t xml:space="preserve"> </w:t>
      </w:r>
      <w:r>
        <w:rPr>
          <w:bCs/>
          <w:b/>
        </w:rPr>
        <w:t xml:space="preserve">0.24 kg CO2e</w:t>
      </w:r>
      <w:r>
        <w:t xml:space="preserve">.</w:t>
      </w:r>
    </w:p>
    <w:p>
      <w:pPr>
        <w:numPr>
          <w:ilvl w:val="0"/>
          <w:numId w:val="1010"/>
        </w:numPr>
        <w:pStyle w:val="Compact"/>
      </w:pPr>
      <w:r>
        <w:rPr>
          <w:bCs/>
          <w:b/>
        </w:rPr>
        <w:t xml:space="preserve">Total EoL Emissions = -0.36 + 0.24 = -0.12 kg CO2e</w:t>
      </w:r>
      <w:r>
        <w:t xml:space="preserve"> </w:t>
      </w:r>
      <w:r>
        <w:t xml:space="preserve">(net avoided emissions).</w:t>
      </w:r>
    </w:p>
    <w:bookmarkEnd w:id="37"/>
    <w:bookmarkStart w:id="38" w:name="total-product-carbon-footprint"/>
    <w:p>
      <w:pPr>
        <w:pStyle w:val="Heading3"/>
      </w:pPr>
      <w:r>
        <w:t xml:space="preserve">5.6 Total Product Carbon Footprint</w:t>
      </w:r>
    </w:p>
    <w:p>
      <w:pPr>
        <w:pStyle w:val="FirstParagraph"/>
      </w:pPr>
      <w:r>
        <w:t xml:space="preserve">The aggregated Product Carbon Footprint for</w:t>
      </w:r>
      <w:r>
        <w:t xml:space="preserve"> </w:t>
      </w:r>
      <w:r>
        <w:rPr>
          <w:bCs/>
          <w:b/>
        </w:rPr>
        <w:t xml:space="preserve">wizgqpxqrw</w:t>
      </w:r>
      <w:r>
        <w:t xml:space="preserve"> </w:t>
      </w:r>
      <w:r>
        <w:t xml:space="preserve">is as follows: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 (for dpfsfekqit)</w:t>
            </w:r>
          </w:p>
        </w:tc>
        <w:tc>
          <w:tcPr/>
          <w:p>
            <w:pPr>
              <w:pStyle w:val="Compact"/>
              <w:jc w:val="left"/>
            </w:pPr>
            <w:r>
              <w:t xml:space="preserve">Emissions (kg CO2e)</w:t>
            </w:r>
          </w:p>
        </w:tc>
      </w:tr>
      <w:tr>
        <w:tc>
          <w:tcPr/>
          <w:p>
            <w:pPr>
              <w:pStyle w:val="Compact"/>
              <w:jc w:val="left"/>
            </w:pPr>
            <w:r>
              <w:t xml:space="preserve">Material Acquisition</w:t>
            </w:r>
          </w:p>
        </w:tc>
        <w:tc>
          <w:tcPr/>
          <w:p>
            <w:pPr>
              <w:pStyle w:val="Compact"/>
              <w:jc w:val="left"/>
            </w:pPr>
            <w:r>
              <w:t xml:space="preserve">Scope 3, Category 1</w:t>
            </w:r>
          </w:p>
        </w:tc>
        <w:tc>
          <w:tcPr/>
          <w:p>
            <w:pPr>
              <w:pStyle w:val="Compact"/>
              <w:jc w:val="left"/>
            </w:pPr>
            <w:r>
              <w:t xml:space="preserve">15.65</w:t>
            </w:r>
          </w:p>
        </w:tc>
      </w:tr>
      <w:tr>
        <w:tc>
          <w:tcPr/>
          <w:p>
            <w:pPr>
              <w:pStyle w:val="Compact"/>
              <w:jc w:val="left"/>
            </w:pPr>
            <w:r>
              <w:t xml:space="preserve">Production (Manufacturing)</w:t>
            </w:r>
          </w:p>
        </w:tc>
        <w:tc>
          <w:tcPr/>
          <w:p>
            <w:pPr>
              <w:pStyle w:val="Compact"/>
              <w:jc w:val="left"/>
            </w:pPr>
            <w:r>
              <w:t xml:space="preserve">Scope 3, Category 1</w:t>
            </w:r>
          </w:p>
        </w:tc>
        <w:tc>
          <w:tcPr/>
          <w:p>
            <w:pPr>
              <w:pStyle w:val="Compact"/>
              <w:jc w:val="left"/>
            </w:pPr>
            <w:r>
              <w:t xml:space="preserve">4.06</w:t>
            </w:r>
          </w:p>
        </w:tc>
      </w:tr>
      <w:tr>
        <w:tc>
          <w:tcPr/>
          <w:p>
            <w:pPr>
              <w:pStyle w:val="Compact"/>
              <w:jc w:val="left"/>
            </w:pPr>
            <w:r>
              <w:t xml:space="preserve">Transport (Distribution)</w:t>
            </w:r>
          </w:p>
        </w:tc>
        <w:tc>
          <w:tcPr/>
          <w:p>
            <w:pPr>
              <w:pStyle w:val="Compact"/>
              <w:jc w:val="left"/>
            </w:pPr>
            <w:r>
              <w:t xml:space="preserve">Scope 3, Category 9</w:t>
            </w:r>
          </w:p>
        </w:tc>
        <w:tc>
          <w:tcPr/>
          <w:p>
            <w:pPr>
              <w:pStyle w:val="Compact"/>
              <w:jc w:val="left"/>
            </w:pPr>
            <w:r>
              <w:t xml:space="preserve">12.18</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28.35</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-0.12</w:t>
            </w:r>
          </w:p>
        </w:tc>
      </w:tr>
      <w:tr>
        <w:tc>
          <w:tcPr>
            <w:gridSpan w:val="2"/>
          </w:tcPr>
          <w:p>
            <w:pPr>
              <w:pStyle w:val="Compact"/>
              <w:jc w:val="left"/>
            </w:pPr>
            <w:r>
              <w:rPr>
                <w:bCs/>
                <w:b/>
              </w:rPr>
              <w:t xml:space="preserve">Total Product Carbon Footprint (Cradle-to-Grave)</w:t>
            </w:r>
          </w:p>
        </w:tc>
        <w:tc>
          <w:tcPr/>
          <w:p>
            <w:pPr>
              <w:pStyle w:val="Compact"/>
              <w:jc w:val="left"/>
            </w:pPr>
            <w:r>
              <w:rPr>
                <w:bCs/>
                <w:b/>
              </w:rPr>
              <w:t xml:space="preserve">50.12 kg CO2e</w:t>
            </w:r>
          </w:p>
        </w:tc>
      </w:tr>
    </w:tbl>
    <w:p>
      <w:pPr>
        <w:pStyle w:val="BodyText"/>
      </w:pPr>
      <w:r>
        <w:rPr>
          <w:iCs/>
          <w:i/>
        </w:rPr>
        <w:t xml:space="preserve">Note: Scope 1 and Scope 2 emissions are considered negligible or not directly attributable to dpfsfekqit\'s</w:t>
      </w:r>
      <w:r>
        <w:rPr>
          <w:iCs/>
          <w:i/>
        </w:rPr>
        <w:t xml:space="preserve"> </w:t>
      </w:r>
      <w:r>
        <w:rPr>
          <w:iCs/>
          <w:i/>
        </w:rPr>
        <w:t xml:space="preserve">owned/controlled operations for this specific product\'s lifecycle as presented, and are primarily embedded within Scope 3 categories</w:t>
      </w:r>
      <w:r>
        <w:rPr>
          <w:iCs/>
          <w:i/>
        </w:rPr>
        <w:t xml:space="preserve"> </w:t>
      </w:r>
      <w:r>
        <w:rPr>
          <w:iCs/>
          <w:i/>
        </w:rPr>
        <w:t xml:space="preserve">due to outsourced manufacturing and upstream/downstream activities.</w:t>
      </w:r>
    </w:p>
    <w:p>
      <w:r>
        <w:pict>
          <v:rect style="width:0;height:1.5pt" o:hralign="center" o:hrstd="t" o:hr="t"/>
        </w:pict>
      </w:r>
    </w:p>
    <w:bookmarkEnd w:id="38"/>
    <w:bookmarkEnd w:id="39"/>
    <w:bookmarkStart w:id="43" w:name="review-report-step-5"/>
    <w:p>
      <w:pPr>
        <w:pStyle w:val="Heading2"/>
      </w:pPr>
      <w:r>
        <w:t xml:space="preserve">6. Review &amp; Report (Step 5)</w:t>
      </w:r>
    </w:p>
    <w:bookmarkStart w:id="40" w:name="hotspot-identification"/>
    <w:p>
      <w:pPr>
        <w:pStyle w:val="Heading3"/>
      </w:pPr>
      <w:r>
        <w:t xml:space="preserve">6.1 Hotspot Identification</w:t>
      </w:r>
    </w:p>
    <w:p>
      <w:pPr>
        <w:pStyle w:val="FirstParagraph"/>
      </w:pPr>
      <w:r>
        <w:t xml:space="preserve">The analysis reveals the following major emission hotspots for</w:t>
      </w:r>
      <w:r>
        <w:t xml:space="preserve"> </w:t>
      </w:r>
      <w:r>
        <w:rPr>
          <w:bCs/>
          <w:b/>
        </w:rPr>
        <w:t xml:space="preserve">wizgqpxqrw</w:t>
      </w:r>
      <w:r>
        <w:t xml:space="preserve">:</w:t>
      </w:r>
    </w:p>
    <w:p>
      <w:pPr>
        <w:numPr>
          <w:ilvl w:val="0"/>
          <w:numId w:val="1011"/>
        </w:numPr>
        <w:pStyle w:val="Compact"/>
      </w:pPr>
      <w:r>
        <w:rPr>
          <w:bCs/>
          <w:b/>
        </w:rPr>
        <w:t xml:space="preserve">Use Phase (28.35 kg CO2e):</w:t>
      </w:r>
      <w:r>
        <w:t xml:space="preserve"> </w:t>
      </w:r>
      <w:r>
        <w:t xml:space="preserve">This is the dominant hotspot, accounting for approximately 56.6% of the total PCF. The product\'s energy consumption over its lifespan in regions with significant grid emission factors is the primary driver.</w:t>
      </w:r>
    </w:p>
    <w:p>
      <w:pPr>
        <w:numPr>
          <w:ilvl w:val="0"/>
          <w:numId w:val="1011"/>
        </w:numPr>
        <w:pStyle w:val="Compact"/>
      </w:pPr>
      <w:r>
        <w:rPr>
          <w:bCs/>
          <w:b/>
        </w:rPr>
        <w:t xml:space="preserve">Material Acquisition (15.65 kg CO2e):</w:t>
      </w:r>
      <w:r>
        <w:t xml:space="preserve"> </w:t>
      </w:r>
      <w:r>
        <w:t xml:space="preserve">Constitutes about 31.2% of the total PCF, primarily driven by the "Aluminum Casing" component (10.0 kg CO2e) as indicated in the BOM, highlighting the high embodied carbon of certain raw materials.</w:t>
      </w:r>
    </w:p>
    <w:p>
      <w:pPr>
        <w:numPr>
          <w:ilvl w:val="0"/>
          <w:numId w:val="1011"/>
        </w:numPr>
        <w:pStyle w:val="Compact"/>
      </w:pPr>
      <w:r>
        <w:rPr>
          <w:bCs/>
          <w:b/>
        </w:rPr>
        <w:t xml:space="preserve">Transport (12.18 kg CO2e):</w:t>
      </w:r>
      <w:r>
        <w:t xml:space="preserve"> </w:t>
      </w:r>
      <w:r>
        <w:t xml:space="preserve">Represents about 24.3% of the total PCF. Last-mile delivery (12.00 kg CO2e) is a significant contributor within this stage, indicating the high intensity of local distribution.</w:t>
      </w:r>
    </w:p>
    <w:bookmarkEnd w:id="40"/>
    <w:bookmarkStart w:id="41" w:name="reliability-and-limitations"/>
    <w:p>
      <w:pPr>
        <w:pStyle w:val="Heading3"/>
      </w:pPr>
      <w:r>
        <w:t xml:space="preserve">6.2 Reliability and Limitations</w:t>
      </w:r>
    </w:p>
    <w:p>
      <w:pPr>
        <w:pStyle w:val="FirstParagraph"/>
      </w:pPr>
      <w:r>
        <w:t xml:space="preserve">The reliability of this PCF analysis is contingent upon the accuracy of the provided activity data and the</w:t>
      </w:r>
      <w:r>
        <w:t xml:space="preserve"> </w:t>
      </w:r>
      <w:r>
        <w:t xml:space="preserve">secondary emission factors utilized.</w:t>
      </w:r>
    </w:p>
    <w:p>
      <w:pPr>
        <w:numPr>
          <w:ilvl w:val="0"/>
          <w:numId w:val="1012"/>
        </w:numPr>
        <w:pStyle w:val="Compact"/>
      </w:pPr>
      <w:r>
        <w:rPr>
          <w:bCs/>
          <w:b/>
        </w:rPr>
        <w:t xml:space="preserve">Primary Data:</w:t>
      </w:r>
      <w:r>
        <w:t xml:space="preserve"> </w:t>
      </w:r>
      <w:r>
        <w:t xml:space="preserve">The Detailed Bill of Materials (`torrxmgk`) was used directly for material emissions, offering high accuracy for this component. Specific parameters for transport, production energy, use phase, and EoL were directly incorporated.</w:t>
      </w:r>
    </w:p>
    <w:p>
      <w:pPr>
        <w:numPr>
          <w:ilvl w:val="0"/>
          <w:numId w:val="1012"/>
        </w:numPr>
        <w:pStyle w:val="Compact"/>
      </w:pPr>
      <w:r>
        <w:rPr>
          <w:bCs/>
          <w:b/>
        </w:rPr>
        <w:t xml:space="preserve">Secondary Data:</w:t>
      </w:r>
      <w:r>
        <w:t xml:space="preserve"> </w:t>
      </w:r>
      <w:r>
        <w:t xml:space="preserve">Industry-standard emission factors (e.g., proxy values from sources like Ecoinvent/DEFRA) were assumed for generic processes such as grid electricity mixes, road freight, and waste management. These factors carry inherent uncertainties due to geographical and temporal variations.</w:t>
      </w:r>
    </w:p>
    <w:p>
      <w:pPr>
        <w:numPr>
          <w:ilvl w:val="0"/>
          <w:numId w:val="1012"/>
        </w:numPr>
        <w:pStyle w:val="Compact"/>
      </w:pPr>
      <w:r>
        <w:rPr>
          <w:bCs/>
          <w:b/>
        </w:rPr>
        <w:t xml:space="preserve">Assumptions:</w:t>
      </w:r>
      <w:r>
        <w:t xml:space="preserve"> </w:t>
      </w:r>
      <w:r>
        <w:t xml:space="preserve">Numerical values were assumed for placeholder parameters (e.g., `izuiskkwlt` for distance, `emuxzmvnfq` for renewable energy) to enable calculations. Actual data for these parameters would enhance precision.</w:t>
      </w:r>
    </w:p>
    <w:p>
      <w:pPr>
        <w:numPr>
          <w:ilvl w:val="0"/>
          <w:numId w:val="1012"/>
        </w:numPr>
        <w:pStyle w:val="Compact"/>
      </w:pPr>
      <w:r>
        <w:rPr>
          <w:bCs/>
          <w:b/>
        </w:rPr>
        <w:t xml:space="preserve">System Boundary:</w:t>
      </w:r>
      <w:r>
        <w:t xml:space="preserve"> </w:t>
      </w:r>
      <w:r>
        <w:t xml:space="preserve">While a cradle-to-grave approach was taken, the "factory_gate" boundary for the core production highlights the initial product handover point, with subsequent stages calculated independently. Upstream transport of individual BOM items to their respective "Process" locations is assumed to be embedded in their "Total Carbon" figures.</w:t>
      </w:r>
    </w:p>
    <w:p>
      <w:pPr>
        <w:numPr>
          <w:ilvl w:val="0"/>
          <w:numId w:val="1012"/>
        </w:numPr>
        <w:pStyle w:val="Compact"/>
      </w:pPr>
      <w:r>
        <w:rPr>
          <w:bCs/>
          <w:b/>
        </w:rPr>
        <w:t xml:space="preserve">LSR Standard:</w:t>
      </w:r>
      <w:r>
        <w:t xml:space="preserve"> </w:t>
      </w:r>
      <w:r>
        <w:t xml:space="preserve">The LSR Standard has been acknowledged; however, without granular land-use change data specific to each raw material\'s origin, a detailed quantitative application of the LSR Standard for all components was not feasible within this report.</w:t>
      </w:r>
    </w:p>
    <w:bookmarkEnd w:id="41"/>
    <w:bookmarkStart w:id="42" w:name="recommendations-for-emission-reduction"/>
    <w:p>
      <w:pPr>
        <w:pStyle w:val="Heading3"/>
      </w:pPr>
      <w:r>
        <w:t xml:space="preserve">6.3 Recommendations for Emission Reduction</w:t>
      </w:r>
    </w:p>
    <w:p>
      <w:pPr>
        <w:pStyle w:val="FirstParagraph"/>
      </w:pPr>
      <w:r>
        <w:t xml:space="preserve">Based on the identified hotspots,</w:t>
      </w:r>
      <w:r>
        <w:t xml:space="preserve"> </w:t>
      </w:r>
      <w:r>
        <w:rPr>
          <w:bCs/>
          <w:b/>
        </w:rPr>
        <w:t xml:space="preserve">dpfsfekqit</w:t>
      </w:r>
      <w:r>
        <w:t xml:space="preserve"> </w:t>
      </w:r>
      <w:r>
        <w:t xml:space="preserve">is recommended to focus on the following strategies</w:t>
      </w:r>
      <w:r>
        <w:t xml:space="preserve"> </w:t>
      </w:r>
      <w:r>
        <w:t xml:space="preserve">to reduce the carbon footprint of</w:t>
      </w:r>
      <w:r>
        <w:t xml:space="preserve"> </w:t>
      </w:r>
      <w:r>
        <w:rPr>
          <w:bCs/>
          <w:b/>
        </w:rPr>
        <w:t xml:space="preserve">wizgqpxqrw</w:t>
      </w:r>
      <w:r>
        <w:t xml:space="preserve">:</w:t>
      </w:r>
    </w:p>
    <w:p>
      <w:pPr>
        <w:numPr>
          <w:ilvl w:val="0"/>
          <w:numId w:val="1013"/>
        </w:numPr>
        <w:pStyle w:val="Compact"/>
      </w:pPr>
      <w:r>
        <w:rPr>
          <w:bCs/>
          <w:b/>
        </w:rPr>
        <w:t xml:space="preserve">Optimize Use Phase:</w:t>
      </w:r>
    </w:p>
    <w:p>
      <w:pPr>
        <w:numPr>
          <w:ilvl w:val="1"/>
          <w:numId w:val="1014"/>
        </w:numPr>
        <w:pStyle w:val="Compact"/>
      </w:pPr>
      <w:r>
        <w:t xml:space="preserve">Investigate opportunities for energy efficiency improvements in the product\'s design to reduce energy consumption during its lifespan (`qdidzqtsyz`).</w:t>
      </w:r>
    </w:p>
    <w:p>
      <w:pPr>
        <w:numPr>
          <w:ilvl w:val="1"/>
          <w:numId w:val="1014"/>
        </w:numPr>
        <w:pStyle w:val="Compact"/>
      </w:pPr>
      <w:r>
        <w:t xml:space="preserve">Explore options for influencing user behavior towards more sustainable energy choices or providing energy-efficient accessories.</w:t>
      </w:r>
    </w:p>
    <w:p>
      <w:pPr>
        <w:numPr>
          <w:ilvl w:val="1"/>
          <w:numId w:val="1014"/>
        </w:numPr>
        <w:pStyle w:val="Compact"/>
      </w:pPr>
      <w:r>
        <w:t xml:space="preserve">Consider product-as-a-service models to extend product lifespan and optimize resource utilization.</w:t>
      </w:r>
    </w:p>
    <w:p>
      <w:pPr>
        <w:numPr>
          <w:ilvl w:val="0"/>
          <w:numId w:val="1013"/>
        </w:numPr>
        <w:pStyle w:val="Compact"/>
      </w:pPr>
      <w:r>
        <w:rPr>
          <w:bCs/>
          <w:b/>
        </w:rPr>
        <w:t xml:space="preserve">Material Optimization:</w:t>
      </w:r>
    </w:p>
    <w:p>
      <w:pPr>
        <w:numPr>
          <w:ilvl w:val="1"/>
          <w:numId w:val="1015"/>
        </w:numPr>
        <w:pStyle w:val="Compact"/>
      </w:pPr>
      <w:r>
        <w:t xml:space="preserve">Research alternative materials with lower embodied carbon for components like the Aluminum Casing.</w:t>
      </w:r>
    </w:p>
    <w:p>
      <w:pPr>
        <w:numPr>
          <w:ilvl w:val="1"/>
          <w:numId w:val="1015"/>
        </w:numPr>
        <w:pStyle w:val="Compact"/>
      </w:pPr>
      <w:r>
        <w:t xml:space="preserve">Increase the percentage of recycled content in materials, verifying the actual avoided emissions through robust supply chain engagement.</w:t>
      </w:r>
    </w:p>
    <w:p>
      <w:pPr>
        <w:numPr>
          <w:ilvl w:val="1"/>
          <w:numId w:val="1015"/>
        </w:numPr>
        <w:pStyle w:val="Compact"/>
      </w:pPr>
      <w:r>
        <w:t xml:space="preserve">Collaborate with suppliers to reduce the carbon footprint of material production processes.</w:t>
      </w:r>
    </w:p>
    <w:p>
      <w:pPr>
        <w:numPr>
          <w:ilvl w:val="0"/>
          <w:numId w:val="1013"/>
        </w:numPr>
        <w:pStyle w:val="Compact"/>
      </w:pPr>
      <w:r>
        <w:rPr>
          <w:bCs/>
          <w:b/>
        </w:rPr>
        <w:t xml:space="preserve">Logistics and Distribution Efficiency:</w:t>
      </w:r>
    </w:p>
    <w:p>
      <w:pPr>
        <w:numPr>
          <w:ilvl w:val="1"/>
          <w:numId w:val="1016"/>
        </w:numPr>
        <w:pStyle w:val="Compact"/>
      </w:pPr>
      <w:r>
        <w:t xml:space="preserve">Optimize last-mile delivery routes and explore partnerships with carriers utilizing electric or low-emission vehicles.</w:t>
      </w:r>
    </w:p>
    <w:p>
      <w:pPr>
        <w:numPr>
          <w:ilvl w:val="1"/>
          <w:numId w:val="1016"/>
        </w:numPr>
        <w:pStyle w:val="Compact"/>
      </w:pPr>
      <w:r>
        <w:t xml:space="preserve">Evaluate alternative primary transport modes (e.g., rail or sea freight where feasible) for long-haul distribution to Europe.</w:t>
      </w:r>
    </w:p>
    <w:p>
      <w:pPr>
        <w:numPr>
          <w:ilvl w:val="1"/>
          <w:numId w:val="1016"/>
        </w:numPr>
        <w:pStyle w:val="Compact"/>
      </w:pPr>
      <w:r>
        <w:t xml:space="preserve">Implement localized inventory and distribution centers to reduce overall transport distances.</w:t>
      </w:r>
    </w:p>
    <w:p>
      <w:pPr>
        <w:numPr>
          <w:ilvl w:val="0"/>
          <w:numId w:val="1013"/>
        </w:numPr>
        <w:pStyle w:val="Compact"/>
      </w:pPr>
      <w:r>
        <w:rPr>
          <w:bCs/>
          <w:b/>
        </w:rPr>
        <w:t xml:space="preserve">Enhance Circularity:</w:t>
      </w:r>
    </w:p>
    <w:p>
      <w:pPr>
        <w:numPr>
          <w:ilvl w:val="1"/>
          <w:numId w:val="1017"/>
        </w:numPr>
        <w:pStyle w:val="Compact"/>
      </w:pPr>
      <w:r>
        <w:t xml:space="preserve">Strengthen and expand the "Product take-back and refurbishment program" (`pxgyzvtxzr`) to maximize reuse and remanufacturing opportunities.</w:t>
      </w:r>
    </w:p>
    <w:p>
      <w:pPr>
        <w:numPr>
          <w:ilvl w:val="1"/>
          <w:numId w:val="1017"/>
        </w:numPr>
        <w:pStyle w:val="Compact"/>
      </w:pPr>
      <w:r>
        <w:t xml:space="preserve">Increase the actual recyclability rate of the product beyond the current `plwfnophku` by designing for disassembly and using easily separable materials.</w:t>
      </w:r>
    </w:p>
    <w:p>
      <w:pPr>
        <w:numPr>
          <w:ilvl w:val="1"/>
          <w:numId w:val="1017"/>
        </w:numPr>
        <w:pStyle w:val="Compact"/>
      </w:pPr>
      <w:r>
        <w:t xml:space="preserve">Investigate technologies and partnerships to close material loops for challenging components.</w:t>
      </w:r>
    </w:p>
    <w:p>
      <w:r>
        <w:pict>
          <v:rect style="width:0;height:1.5pt" o:hralign="center" o:hrstd="t" o:hr="t"/>
        </w:pict>
      </w:r>
    </w:p>
    <w:p>
      <w:pPr>
        <w:pStyle w:val="FirstParagraph"/>
      </w:pPr>
      <w:r>
        <w:t xml:space="preserve">Confidential - Internal Use Only | Page</w:t>
      </w:r>
      <w:r>
        <w:t xml:space="preserve"> </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wizgqpxqrw</dc:title>
  <dc:creator/>
  <dc:description>A high-detail Product Carbon Footprint (PCF) analysis for wizgqpxqrw, conducted by Senior Sustainability Consultant sfrdqiytml for dpfsfekqit, adhering to GHG Protocol standards and 2026 LSR updates.</dc:description>
  <dc:language>en</dc:language>
  <cp:keywords/>
  <dcterms:created xsi:type="dcterms:W3CDTF">2026-07-15T09:31:10Z</dcterms:created>
  <dcterms:modified xsi:type="dcterms:W3CDTF">2026-07-15T09:31:10Z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