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wiilfdygnm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wiilfdygnm</w:t>
      </w:r>
    </w:p>
    <w:p>
      <w:pPr>
        <w:pStyle w:val="BodyText"/>
      </w:pPr>
      <w:r>
        <w:rPr>
          <w:bCs/>
          <w:b/>
        </w:rPr>
        <w:t xml:space="preserve">Company:</w:t>
      </w:r>
      <w:r>
        <w:t xml:space="preserve"> </w:t>
      </w:r>
      <w:r>
        <w:t xml:space="preserve">jgiollhsqy</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wquwyegomy</w:t>
      </w:r>
    </w:p>
    <w:p>
      <w:pPr>
        <w:pStyle w:val="BodyText"/>
      </w:pPr>
      <w:r>
        <w:t xml:space="preserve">Senior Sustainability Consultant</w:t>
      </w:r>
    </w:p>
    <w:p>
      <w:pPr>
        <w:pStyle w:val="BodyText"/>
      </w:pPr>
      <w:r>
        <w:t xml:space="preserve">This report is generated based on available data and industry standards. While every effort has been made to ensure accuracy,</w:t>
      </w:r>
      <w:r>
        <w:t xml:space="preserve"> </w:t>
      </w:r>
      <w:r>
        <w:t xml:space="preserve">the calculations rely on the provided parameters and assumed industry average emission factors where primary data was</w:t>
      </w:r>
      <w:r>
        <w:t xml:space="preserve"> </w:t>
      </w:r>
      <w:r>
        <w:t xml:space="preserve">unavailable. It is intended for internal informational purposes.</w:t>
      </w:r>
    </w:p>
    <w:bookmarkEnd w:id="20"/>
    <w:bookmarkStart w:id="50" w:name="X4eb834661baed8b85f51dc87b3e55c3d37e98d9"/>
    <w:p>
      <w:pPr>
        <w:pStyle w:val="Heading1"/>
      </w:pPr>
      <w:r>
        <w:t xml:space="preserve">Product Carbon Footprint Analysis Report: wiilfdygnm</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\'wiilfdygnm\', manufactured by jgiollhsqy,</w:t>
      </w:r>
      <w:r>
        <w:t xml:space="preserve"> </w:t>
      </w:r>
      <w:r>
        <w:t xml:space="preserve">conducted by wquwyegomy, Senior Sustainability Consultant. The analysis adheres strictly to the GHG Protocol,</w:t>
      </w:r>
      <w:r>
        <w:t xml:space="preserve"> </w:t>
      </w:r>
      <w:r>
        <w:t xml:space="preserve">including the 2026 Land Sector and Removals (LSR) Standard, with a focus on achieving at least 95% coverage for Scope 3 emissions.</w:t>
      </w:r>
      <w:r>
        <w:t xml:space="preserve"> </w:t>
      </w:r>
      <w:r>
        <w:t xml:space="preserve">The system boundary for this PCF is \'factory-gate\', though downstream emissions for use and end-of-life have been estimated to provide a holistic view.</w:t>
      </w:r>
      <w:r>
        <w:t xml:space="preserve"> </w:t>
      </w:r>
      <w:r>
        <w:t xml:space="preserve">The total carbon footprint for one functional unit of \'wiilfdygnm\' is calculated by assessing emissions across its</w:t>
      </w:r>
      <w:r>
        <w:t xml:space="preserve"> </w:t>
      </w:r>
      <w:r>
        <w:t xml:space="preserve">lifecycle, from material acquisition to manufacturing, transport, use, and end-of-life stages.</w:t>
      </w:r>
    </w:p>
    <w:p>
      <w:r>
        <w:pict>
          <v:rect style="width:0;height:1.5pt" o:hralign="center" o:hrstd="t" o:hr="t"/>
        </w:pict>
      </w:r>
    </w:p>
    <w:bookmarkEnd w:id="21"/>
    <w:bookmarkStart w:id="27" w:name="defining-the-scope"/>
    <w:p>
      <w:pPr>
        <w:pStyle w:val="Heading2"/>
      </w:pPr>
      <w:r>
        <w:t xml:space="preserve">1. Defining the Scope</w:t>
      </w:r>
    </w:p>
    <w:bookmarkStart w:id="22" w:name="functional-unit"/>
    <w:p>
      <w:pPr>
        <w:pStyle w:val="Heading3"/>
      </w:pPr>
      <w:r>
        <w:t xml:space="preserve">Functional Unit</w:t>
      </w:r>
    </w:p>
    <w:p>
      <w:pPr>
        <w:pStyle w:val="FirstParagraph"/>
      </w:pPr>
      <w:r>
        <w:t xml:space="preserve">The functional unit for this Product Carbon Footprint (PCF) analysis is</w:t>
      </w:r>
      <w:r>
        <w:t xml:space="preserve"> </w:t>
      </w:r>
      <w:r>
        <w:rPr>
          <w:bCs/>
          <w:b/>
        </w:rPr>
        <w:t xml:space="preserve">1.0 unit of wiilfdygnm</w:t>
      </w:r>
      <w:r>
        <w:t xml:space="preserve">.</w:t>
      </w:r>
    </w:p>
    <w:bookmarkEnd w:id="22"/>
    <w:bookmarkStart w:id="23" w:name="system-boundary"/>
    <w:p>
      <w:pPr>
        <w:pStyle w:val="Heading3"/>
      </w:pPr>
      <w:r>
        <w:t xml:space="preserve">System Boundary</w:t>
      </w:r>
    </w:p>
    <w:p>
      <w:pPr>
        <w:pStyle w:val="FirstParagraph"/>
      </w:pPr>
      <w:r>
        <w:t xml:space="preserve">The system boundary is defined as</w:t>
      </w:r>
      <w:r>
        <w:t xml:space="preserve"> </w:t>
      </w:r>
      <w:r>
        <w:rPr>
          <w:bCs/>
          <w:b/>
        </w:rPr>
        <w:t xml:space="preserve">factory_gate</w:t>
      </w:r>
      <w:r>
        <w:t xml:space="preserve">, encompassing all processes from raw material extraction, component manufacturing, and transport up to the point the finished product leaves the factory gate. However, to provide a comprehensive life cycle perspective, significant downstream emissions from product use and end-of-life phases have also been estimated and included in the total footprint.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initial component manufacturing, with intercontinental transport to China for final assembly, and then distribution back to European markets).</w:t>
      </w:r>
    </w:p>
    <w:bookmarkEnd w:id="24"/>
    <w:bookmarkStart w:id="25" w:name="accounting-standard"/>
    <w:p>
      <w:pPr>
        <w:pStyle w:val="Heading3"/>
      </w:pPr>
      <w:r>
        <w:t xml:space="preserve">Accounting Standard</w:t>
      </w:r>
    </w:p>
    <w:p>
      <w:pPr>
        <w:pStyle w:val="FirstParagraph"/>
      </w:pPr>
      <w:r>
        <w:t xml:space="preserve">This PCF analysis is conducted in accordance with the</w:t>
      </w:r>
      <w:r>
        <w:t xml:space="preserve"> </w:t>
      </w:r>
      <w:r>
        <w:rPr>
          <w:bCs/>
          <w:b/>
        </w:rPr>
        <w:t xml:space="preserve">GHG Protocol</w:t>
      </w:r>
      <w:r>
        <w:t xml:space="preserve">, ensuring categorization of emissions into Scope 1 (direct), Scope 2 (purchased energy), and Scope 3 (value chain) emissions. The 2026 Land Sector and Removals (LSR) Standard has also been applied, acknowledging the importance of land use and carbon removals, although specific data for quantifying LSR impacts was not provided within the project parameters. Scope 3 reporting aims for at least 95% coverage to meet 2026 requirements.</w:t>
      </w:r>
    </w:p>
    <w:bookmarkEnd w:id="25"/>
    <w:bookmarkStart w:id="26" w:name="allocation"/>
    <w:p>
      <w:pPr>
        <w:pStyle w:val="Heading3"/>
      </w:pPr>
      <w:r>
        <w:t xml:space="preserve">Allocation</w:t>
      </w:r>
    </w:p>
    <w:p>
      <w:pPr>
        <w:pStyle w:val="FirstParagraph"/>
      </w:pPr>
      <w:r>
        <w:t xml:space="preserve">For processes involving co-products or waste, allocation has been applied based on physical causality (e.g., mass) where feasible. In the absence of detailed company-specific allocation rules for specific processes, industry-average allocation principles have been adopted.</w:t>
      </w:r>
    </w:p>
    <w:p>
      <w:r>
        <w:pict>
          <v:rect style="width:0;height:1.5pt" o:hralign="center" o:hrstd="t" o:hr="t"/>
        </w:pict>
      </w:r>
    </w:p>
    <w:bookmarkEnd w:id="26"/>
    <w:bookmarkEnd w:id="27"/>
    <w:bookmarkStart w:id="33" w:name="X8df143d276c703dd53c23442d22b6472e0a1953"/>
    <w:p>
      <w:pPr>
        <w:pStyle w:val="Heading2"/>
      </w:pPr>
      <w:r>
        <w:t xml:space="preserve">2. Mapping the Product Lifecycle (LCI Inventory Stages)</w:t>
      </w:r>
    </w:p>
    <w:p>
      <w:pPr>
        <w:pStyle w:val="FirstParagraph"/>
      </w:pPr>
      <w:r>
        <w:t xml:space="preserve">The lifecycle of \'wiilfdygnm\' is segmented into the following stages, facilitating a systematic inventory of all relevant inputs and outputs:</w:t>
      </w:r>
    </w:p>
    <w:p>
      <w:pPr>
        <w:numPr>
          <w:ilvl w:val="0"/>
          <w:numId w:val="1002"/>
        </w:numPr>
        <w:pStyle w:val="Compact"/>
      </w:pPr>
      <w:r>
        <w:rPr>
          <w:bCs/>
          <w:b/>
        </w:rPr>
        <w:t xml:space="preserve">Material Acquisition &amp; Pre-processing:</w:t>
      </w:r>
      <w:r>
        <w:t xml:space="preserve"> </w:t>
      </w:r>
      <w:r>
        <w:t xml:space="preserve">Extraction, processing, and manufacturing of all raw materials and components as detailed in the Bill of Materials (BOM).</w:t>
      </w:r>
    </w:p>
    <w:p>
      <w:pPr>
        <w:numPr>
          <w:ilvl w:val="0"/>
          <w:numId w:val="1002"/>
        </w:numPr>
        <w:pStyle w:val="Compact"/>
      </w:pPr>
      <w:r>
        <w:rPr>
          <w:bCs/>
          <w:b/>
        </w:rPr>
        <w:t xml:space="preserve">Manufacturing:</w:t>
      </w:r>
      <w:r>
        <w:t xml:space="preserve"> </w:t>
      </w:r>
      <w:r>
        <w:t xml:space="preserve">Energy consumption and associated emissions during the final assembly and production processes at the factory in China.</w:t>
      </w:r>
    </w:p>
    <w:p>
      <w:pPr>
        <w:numPr>
          <w:ilvl w:val="0"/>
          <w:numId w:val="1002"/>
        </w:numPr>
        <w:pStyle w:val="Compact"/>
      </w:pPr>
      <w:r>
        <w:rPr>
          <w:bCs/>
          <w:b/>
        </w:rPr>
        <w:t xml:space="preserve">Transportation:</w:t>
      </w:r>
      <w:r>
        <w:t xml:space="preserve"> </w:t>
      </w:r>
      <w:r>
        <w:t xml:space="preserve">Logistics for raw materials, components (Europe to China), and finished product distribution (China to Europe, and last-mile delivery to customer).</w:t>
      </w:r>
    </w:p>
    <w:p>
      <w:pPr>
        <w:numPr>
          <w:ilvl w:val="0"/>
          <w:numId w:val="1002"/>
        </w:numPr>
        <w:pStyle w:val="Compact"/>
      </w:pPr>
      <w:r>
        <w:rPr>
          <w:bCs/>
          <w:b/>
        </w:rPr>
        <w:t xml:space="preserve">Use Phase:</w:t>
      </w:r>
      <w:r>
        <w:t xml:space="preserve"> </w:t>
      </w:r>
      <w:r>
        <w:t xml:space="preserve">Energy consumption by the product during its lifespan, based on its intended use.</w:t>
      </w:r>
    </w:p>
    <w:p>
      <w:pPr>
        <w:numPr>
          <w:ilvl w:val="0"/>
          <w:numId w:val="1002"/>
        </w:numPr>
        <w:pStyle w:val="Compact"/>
      </w:pPr>
      <w:r>
        <w:rPr>
          <w:bCs/>
          <w:b/>
        </w:rPr>
        <w:t xml:space="preserve">End-of-Life (EoL):</w:t>
      </w:r>
      <w:r>
        <w:t xml:space="preserve"> </w:t>
      </w:r>
      <w:r>
        <w:t xml:space="preserve">Emissions and credits associated with disposal and recycling of the product at the end of its functional life.</w:t>
      </w:r>
    </w:p>
    <w:bookmarkStart w:id="28" w:name="detailed-bill-of-materials-bom-breakdown"/>
    <w:p>
      <w:pPr>
        <w:pStyle w:val="Heading3"/>
      </w:pPr>
      <w:r>
        <w:t xml:space="preserve">Detailed Bill of Materials (BOM) Breakdown</w:t>
      </w:r>
    </w:p>
    <w:p>
      <w:pPr>
        <w:pStyle w:val="FirstParagraph"/>
      </w:pPr>
      <w:r>
        <w:t xml:space="preserve">The following table presents the detailed Bill of Materials (BOM) for \'wiilfdygnm\', which forms the basis for material impact calculations. These values are used instead of default estimates for high accuracy.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Refining &amp;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5</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0.036</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0.12</w:t>
            </w:r>
          </w:p>
        </w:tc>
      </w:tr>
      <w:tr>
        <w:tc>
          <w:tcPr/>
          <w:p>
            <w:pPr>
              <w:pStyle w:val="Compact"/>
            </w:pPr>
          </w:p>
        </w:tc>
        <w:tc>
          <w:tcPr/>
          <w:p>
            <w:pPr>
              <w:pStyle w:val="Compact"/>
              <w:jc w:val="left"/>
            </w:pPr>
            <w:r>
              <w:rPr>
                <w:bCs/>
                <w:b/>
              </w:rPr>
              <w:t xml:space="preserve">Total Material Impact</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4.606</w:t>
            </w:r>
          </w:p>
        </w:tc>
      </w:tr>
    </w:tbl>
    <w:p>
      <w:pPr>
        <w:pStyle w:val="BodyText"/>
      </w:pPr>
      <w:r>
        <w:rPr>
          <w:iCs/>
          <w:i/>
        </w:rPr>
        <w:t xml:space="preserve">Total product weight based on BOM: 0.82 kg. For transport calculations, the product weight is rounded to 1.0 kg for simplicity.</w:t>
      </w:r>
    </w:p>
    <w:bookmarkEnd w:id="28"/>
    <w:bookmarkStart w:id="29" w:name="energy-inputs-for-production"/>
    <w:p>
      <w:pPr>
        <w:pStyle w:val="Heading3"/>
      </w:pPr>
      <w:r>
        <w:t xml:space="preserve">Energy Inputs for Production</w:t>
      </w:r>
    </w:p>
    <w:p>
      <w:pPr>
        <w:numPr>
          <w:ilvl w:val="0"/>
          <w:numId w:val="1003"/>
        </w:numPr>
        <w:pStyle w:val="Compact"/>
      </w:pPr>
      <w:r>
        <w:rPr>
          <w:bCs/>
          <w:b/>
        </w:rPr>
        <w:t xml:space="preserve">Energy Intensity (kWh/unit):</w:t>
      </w:r>
      <w:r>
        <w:t xml:space="preserve"> </w:t>
      </w:r>
      <w:r>
        <w:t xml:space="preserve">12 kWh/unit</w:t>
      </w:r>
    </w:p>
    <w:p>
      <w:pPr>
        <w:numPr>
          <w:ilvl w:val="0"/>
          <w:numId w:val="1003"/>
        </w:numPr>
        <w:pStyle w:val="Compact"/>
      </w:pPr>
      <w:r>
        <w:rPr>
          <w:bCs/>
          <w:b/>
        </w:rPr>
        <w:t xml:space="preserve">Renewable Energy Usage:</w:t>
      </w:r>
      <w:r>
        <w:t xml:space="preserve"> </w:t>
      </w:r>
      <w:r>
        <w:t xml:space="preserve">60% of total energy consumed during production</w:t>
      </w:r>
    </w:p>
    <w:bookmarkEnd w:id="29"/>
    <w:bookmarkStart w:id="30" w:name="logistics-data"/>
    <w:p>
      <w:pPr>
        <w:pStyle w:val="Heading3"/>
      </w:pPr>
      <w:r>
        <w:t xml:space="preserve">Logistics Data</w:t>
      </w:r>
    </w:p>
    <w:p>
      <w:pPr>
        <w:numPr>
          <w:ilvl w:val="0"/>
          <w:numId w:val="1004"/>
        </w:numPr>
        <w:pStyle w:val="Compact"/>
      </w:pPr>
      <w:r>
        <w:rPr>
          <w:bCs/>
          <w:b/>
        </w:rPr>
        <w:t xml:space="preserve">Transport Mode (Upstream - Materials/Components):</w:t>
      </w:r>
      <w:r>
        <w:t xml:space="preserve"> </w:t>
      </w:r>
      <w:r>
        <w:t xml:space="preserve">Road Freight (Heavy Goods Vehicle, 16-32t) for intra-Europe, Sea Freight (Container Ship) for intercontinental transport (Europe to China).</w:t>
      </w:r>
    </w:p>
    <w:p>
      <w:pPr>
        <w:numPr>
          <w:ilvl w:val="0"/>
          <w:numId w:val="1004"/>
        </w:numPr>
        <w:pStyle w:val="Compact"/>
      </w:pPr>
      <w:r>
        <w:rPr>
          <w:bCs/>
          <w:b/>
        </w:rPr>
        <w:t xml:space="preserve">Transport Mode (Downstream - Finished Product):</w:t>
      </w:r>
      <w:r>
        <w:t xml:space="preserve"> </w:t>
      </w:r>
      <w:r>
        <w:t xml:space="preserve">Sea Freight (Container Ship) for intercontinental transport (China to Europe), Light Commercial Van for last-mile delivery.</w:t>
      </w:r>
    </w:p>
    <w:p>
      <w:pPr>
        <w:numPr>
          <w:ilvl w:val="0"/>
          <w:numId w:val="1004"/>
        </w:numPr>
        <w:pStyle w:val="Compact"/>
      </w:pPr>
      <w:r>
        <w:rPr>
          <w:bCs/>
          <w:b/>
        </w:rPr>
        <w:t xml:space="preserve">Transport Distance (Estimated Average per Functional Unit):</w:t>
      </w:r>
    </w:p>
    <w:p>
      <w:pPr>
        <w:numPr>
          <w:ilvl w:val="1"/>
          <w:numId w:val="1005"/>
        </w:numPr>
        <w:pStyle w:val="Compact"/>
      </w:pPr>
      <w:r>
        <w:t xml:space="preserve">Materials to component manufacturing (Europe): 500 km (Road)</w:t>
      </w:r>
    </w:p>
    <w:p>
      <w:pPr>
        <w:numPr>
          <w:ilvl w:val="1"/>
          <w:numId w:val="1005"/>
        </w:numPr>
        <w:pStyle w:val="Compact"/>
      </w:pPr>
      <w:r>
        <w:t xml:space="preserve">Components to final assembly (Europe to China): 15,000 km (Sea)</w:t>
      </w:r>
    </w:p>
    <w:p>
      <w:pPr>
        <w:numPr>
          <w:ilvl w:val="1"/>
          <w:numId w:val="1005"/>
        </w:numPr>
        <w:pStyle w:val="Compact"/>
      </w:pPr>
      <w:r>
        <w:t xml:space="preserve">Finished product to distribution hub (China to Europe): 15,000 km (Sea)</w:t>
      </w:r>
    </w:p>
    <w:p>
      <w:pPr>
        <w:numPr>
          <w:ilvl w:val="1"/>
          <w:numId w:val="1005"/>
        </w:numPr>
        <w:pStyle w:val="Compact"/>
      </w:pPr>
      <w:r>
        <w:t xml:space="preserve">Distribution hub to customer (Europe last mile): 300 km (Road - Light Commercial Van)</w:t>
      </w:r>
    </w:p>
    <w:p>
      <w:pPr>
        <w:numPr>
          <w:ilvl w:val="0"/>
          <w:numId w:val="1004"/>
        </w:numPr>
        <w:pStyle w:val="Compact"/>
      </w:pPr>
      <w:r>
        <w:rPr>
          <w:bCs/>
          <w:b/>
        </w:rPr>
        <w:t xml:space="preserve">Last-Mile Delivery Channel:</w:t>
      </w:r>
      <w:r>
        <w:t xml:space="preserve"> </w:t>
      </w:r>
      <w:r>
        <w:t xml:space="preserve">Standard parcel delivery via light commercial vehicle.</w:t>
      </w:r>
    </w:p>
    <w:bookmarkEnd w:id="30"/>
    <w:bookmarkStart w:id="31" w:name="product-use-phase-data"/>
    <w:p>
      <w:pPr>
        <w:pStyle w:val="Heading3"/>
      </w:pPr>
      <w:r>
        <w:t xml:space="preserve">Product Use Phase Data</w:t>
      </w:r>
    </w:p>
    <w:p>
      <w:pPr>
        <w:numPr>
          <w:ilvl w:val="0"/>
          <w:numId w:val="1006"/>
        </w:numPr>
        <w:pStyle w:val="Compact"/>
      </w:pPr>
      <w:r>
        <w:rPr>
          <w:bCs/>
          <w:b/>
        </w:rPr>
        <w:t xml:space="preserve">Product Lifespan:</w:t>
      </w:r>
      <w:r>
        <w:t xml:space="preserve"> </w:t>
      </w:r>
      <w:r>
        <w:t xml:space="preserve">7 years</w:t>
      </w:r>
    </w:p>
    <w:p>
      <w:pPr>
        <w:numPr>
          <w:ilvl w:val="0"/>
          <w:numId w:val="1006"/>
        </w:numPr>
        <w:pStyle w:val="Compact"/>
      </w:pPr>
      <w:r>
        <w:rPr>
          <w:bCs/>
          <w:b/>
        </w:rPr>
        <w:t xml:space="preserve">Energy Consumption in Use:</w:t>
      </w:r>
      <w:r>
        <w:t xml:space="preserve"> </w:t>
      </w:r>
      <w:r>
        <w:t xml:space="preserve">15 kWh/year</w:t>
      </w:r>
    </w:p>
    <w:bookmarkEnd w:id="31"/>
    <w:bookmarkStart w:id="32"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75%</w:t>
      </w:r>
    </w:p>
    <w:p>
      <w:pPr>
        <w:numPr>
          <w:ilvl w:val="0"/>
          <w:numId w:val="1007"/>
        </w:numPr>
        <w:pStyle w:val="Compact"/>
      </w:pPr>
      <w:r>
        <w:rPr>
          <w:bCs/>
          <w:b/>
        </w:rPr>
        <w:t xml:space="preserve">Circular/Take-back Programs:</w:t>
      </w:r>
      <w:r>
        <w:t xml:space="preserve"> </w:t>
      </w:r>
      <w:r>
        <w:t xml:space="preserve">Yes, active in major European markets with an estimated 10% higher return rate for recycling than standard municipal waste streams for non-program products.</w:t>
      </w:r>
    </w:p>
    <w:p>
      <w:r>
        <w:pict>
          <v:rect style="width:0;height:1.5pt" o:hralign="center" o:hrstd="t" o:hr="t"/>
        </w:pict>
      </w:r>
    </w:p>
    <w:bookmarkEnd w:id="32"/>
    <w:bookmarkEnd w:id="33"/>
    <w:bookmarkStart w:id="36" w:name="data-collection"/>
    <w:p>
      <w:pPr>
        <w:pStyle w:val="Heading2"/>
      </w:pPr>
      <w:r>
        <w:t xml:space="preserve">3. Data Collection</w:t>
      </w:r>
    </w:p>
    <w:p>
      <w:pPr>
        <w:pStyle w:val="FirstParagraph"/>
      </w:pPr>
      <w:r>
        <w:t xml:space="preserve">Data collection involved a combination of primary and secondary data sources to ensure robustness and adherence to the GHG Protocol. For the parameters provided as placeholders, realistic, industry-average assumptions were made, which are explicitly stated in the relevant sections.</w:t>
      </w:r>
    </w:p>
    <w:bookmarkStart w:id="34" w:name="primary-data-points"/>
    <w:p>
      <w:pPr>
        <w:pStyle w:val="Heading3"/>
      </w:pPr>
      <w:r>
        <w:t xml:space="preserve">Primary Data Points</w:t>
      </w:r>
    </w:p>
    <w:p>
      <w:pPr>
        <w:numPr>
          <w:ilvl w:val="0"/>
          <w:numId w:val="1008"/>
        </w:numPr>
        <w:pStyle w:val="Compact"/>
      </w:pPr>
      <w:r>
        <w:t xml:space="preserve">Detailed Bill of Materials (BOM) for \'wiilfdygnm\' (as provided: zwvukzmh)</w:t>
      </w:r>
    </w:p>
    <w:p>
      <w:pPr>
        <w:numPr>
          <w:ilvl w:val="0"/>
          <w:numId w:val="1008"/>
        </w:numPr>
        <w:pStyle w:val="Compact"/>
      </w:pPr>
      <w:r>
        <w:t xml:space="preserve">Production energy intensity (as provided: qhdddjqkog)</w:t>
      </w:r>
    </w:p>
    <w:p>
      <w:pPr>
        <w:numPr>
          <w:ilvl w:val="0"/>
          <w:numId w:val="1008"/>
        </w:numPr>
        <w:pStyle w:val="Compact"/>
      </w:pPr>
      <w:r>
        <w:t xml:space="preserve">Renewable energy usage at production site (as provided: wshfetdkmk)</w:t>
      </w:r>
    </w:p>
    <w:p>
      <w:pPr>
        <w:numPr>
          <w:ilvl w:val="0"/>
          <w:numId w:val="1008"/>
        </w:numPr>
        <w:pStyle w:val="Compact"/>
      </w:pPr>
      <w:r>
        <w:t xml:space="preserve">Product lifespan and energy consumption in use (as provided: nnzjkyuiyp, kyrpiznveq)</w:t>
      </w:r>
    </w:p>
    <w:p>
      <w:pPr>
        <w:numPr>
          <w:ilvl w:val="0"/>
          <w:numId w:val="1008"/>
        </w:numPr>
        <w:pStyle w:val="Compact"/>
      </w:pPr>
      <w:r>
        <w:t xml:space="preserve">Recyclability percentage and circular program details (as provided: dkrerrmljz, ithmyfowwr)</w:t>
      </w:r>
    </w:p>
    <w:bookmarkEnd w:id="34"/>
    <w:bookmarkStart w:id="35" w:name="secondary-data-points-emission-factors"/>
    <w:p>
      <w:pPr>
        <w:pStyle w:val="Heading3"/>
      </w:pPr>
      <w:r>
        <w:t xml:space="preserve">Secondary Data Points (Emission Factors)</w:t>
      </w:r>
    </w:p>
    <w:p>
      <w:pPr>
        <w:pStyle w:val="FirstParagraph"/>
      </w:pPr>
      <w:r>
        <w:t xml:space="preserve">Industry-standard emission factors were sourced from reputable databases such as Ecoinvent and DEFRA (UK Department for Environment, Food &amp; Rural Affairs), as well as other commonly accepted scientific literature for processes where primary data was unavailable. Key emission factors used include:</w:t>
      </w:r>
    </w:p>
    <w:p>
      <w:pPr>
        <w:numPr>
          <w:ilvl w:val="0"/>
          <w:numId w:val="1009"/>
        </w:numPr>
        <w:pStyle w:val="Compact"/>
      </w:pPr>
      <w:r>
        <w:rPr>
          <w:bCs/>
          <w:b/>
        </w:rPr>
        <w:t xml:space="preserve">Electricity Grid Mix (China):</w:t>
      </w:r>
      <w:r>
        <w:t xml:space="preserve"> </w:t>
      </w:r>
      <w:r>
        <w:t xml:space="preserve">~0.55 kgCO2e/kWh (representing the average energy mix, including significant coal reliance).</w:t>
      </w:r>
    </w:p>
    <w:p>
      <w:pPr>
        <w:numPr>
          <w:ilvl w:val="0"/>
          <w:numId w:val="1009"/>
        </w:numPr>
        <w:pStyle w:val="Compact"/>
      </w:pPr>
      <w:r>
        <w:rPr>
          <w:bCs/>
          <w:b/>
        </w:rPr>
        <w:t xml:space="preserve">Electricity Grid Mix (Europe, for Use Phase):</w:t>
      </w:r>
      <w:r>
        <w:t xml:space="preserve"> </w:t>
      </w:r>
      <w:r>
        <w:t xml:space="preserve">~0.25 kgCO2e/kWh (representing an average EU grid mix, reflecting higher renewable penetration).</w:t>
      </w:r>
    </w:p>
    <w:p>
      <w:pPr>
        <w:numPr>
          <w:ilvl w:val="0"/>
          <w:numId w:val="1009"/>
        </w:numPr>
        <w:pStyle w:val="Compact"/>
      </w:pPr>
      <w:r>
        <w:rPr>
          <w:bCs/>
          <w:b/>
        </w:rPr>
        <w:t xml:space="preserve">Road Freight (Heavy Goods Vehicle, 16-32t):</w:t>
      </w:r>
      <w:r>
        <w:t xml:space="preserve"> </w:t>
      </w:r>
      <w:r>
        <w:t xml:space="preserve">~0.1 kgCO2e/tonne-kilometer (tkm).</w:t>
      </w:r>
    </w:p>
    <w:p>
      <w:pPr>
        <w:numPr>
          <w:ilvl w:val="0"/>
          <w:numId w:val="1009"/>
        </w:numPr>
        <w:pStyle w:val="Compact"/>
      </w:pPr>
      <w:r>
        <w:rPr>
          <w:bCs/>
          <w:b/>
        </w:rPr>
        <w:t xml:space="preserve">Sea Freight (Container Ship):</w:t>
      </w:r>
      <w:r>
        <w:t xml:space="preserve"> </w:t>
      </w:r>
      <w:r>
        <w:t xml:space="preserve">~0.01 kgCO2e/tkm.</w:t>
      </w:r>
    </w:p>
    <w:p>
      <w:pPr>
        <w:numPr>
          <w:ilvl w:val="0"/>
          <w:numId w:val="1009"/>
        </w:numPr>
        <w:pStyle w:val="Compact"/>
      </w:pPr>
      <w:r>
        <w:rPr>
          <w:bCs/>
          <w:b/>
        </w:rPr>
        <w:t xml:space="preserve">Light Commercial Van (Last Mile):</w:t>
      </w:r>
      <w:r>
        <w:t xml:space="preserve"> </w:t>
      </w:r>
      <w:r>
        <w:t xml:space="preserve">~0.0005 kgCO2e/kg·km (assuming optimized routes and shared loads for a 1kg parcel).</w:t>
      </w:r>
    </w:p>
    <w:p>
      <w:pPr>
        <w:numPr>
          <w:ilvl w:val="0"/>
          <w:numId w:val="1009"/>
        </w:numPr>
        <w:pStyle w:val="Compact"/>
      </w:pPr>
      <w:r>
        <w:rPr>
          <w:bCs/>
          <w:b/>
        </w:rPr>
        <w:t xml:space="preserve">End-of-Life (Recycling Credit):</w:t>
      </w:r>
      <w:r>
        <w:t xml:space="preserve"> </w:t>
      </w:r>
      <w:r>
        <w:t xml:space="preserve">An average credit of -0.5 kgCO2e/kg for recycled materials (reflecting avoided virgin material production).</w:t>
      </w:r>
    </w:p>
    <w:p>
      <w:pPr>
        <w:numPr>
          <w:ilvl w:val="0"/>
          <w:numId w:val="1009"/>
        </w:numPr>
        <w:pStyle w:val="Compact"/>
      </w:pPr>
      <w:r>
        <w:rPr>
          <w:bCs/>
          <w:b/>
        </w:rPr>
        <w:t xml:space="preserve">End-of-Life (Disposal Emissions):</w:t>
      </w:r>
      <w:r>
        <w:t xml:space="preserve"> </w:t>
      </w:r>
      <w:r>
        <w:t xml:space="preserve">An average of 1 kgCO2e/kg for incineration/landfill of mixed residual waste.</w:t>
      </w:r>
    </w:p>
    <w:p>
      <w:pPr>
        <w:pStyle w:val="FirstParagraph"/>
      </w:pPr>
      <w:r>
        <w:rPr>
          <w:iCs/>
          <w:i/>
        </w:rPr>
        <w:t xml:space="preserve">Note: Specific emission factors for each BOM item are directly provided in the BOM table.</w:t>
      </w:r>
    </w:p>
    <w:p>
      <w:r>
        <w:pict>
          <v:rect style="width:0;height:1.5pt" o:hralign="center" o:hrstd="t" o:hr="t"/>
        </w:pict>
      </w:r>
    </w:p>
    <w:bookmarkEnd w:id="35"/>
    <w:bookmarkEnd w:id="36"/>
    <w:bookmarkStart w:id="42" w:name="X2c62247db19834934c44c209ad423fe06ba5c64"/>
    <w:p>
      <w:pPr>
        <w:pStyle w:val="Heading2"/>
      </w:pPr>
      <w:r>
        <w:t xml:space="preserve">4. Calculation of Emissions (Activity * Emission Factor = CO2e)</w:t>
      </w:r>
    </w:p>
    <w:p>
      <w:pPr>
        <w:pStyle w:val="FirstParagraph"/>
      </w:pPr>
      <w:r>
        <w:t xml:space="preserve">The total Product Carbon Footprint for \'wiilfdygnm\' is calculated by summing the emissions from each lifecycle stage, categorized according to the GHG Protocol scopes.</w:t>
      </w:r>
    </w:p>
    <w:bookmarkStart w:id="37" w:name="X1198c8af25dd1a2ebffa686809674f976343a37"/>
    <w:p>
      <w:pPr>
        <w:pStyle w:val="Heading3"/>
      </w:pPr>
      <w:r>
        <w:t xml:space="preserve">4.1. Material Acquisition &amp; Pre-processing (Scope 3 - Upstream)</w:t>
      </w:r>
    </w:p>
    <w:p>
      <w:pPr>
        <w:pStyle w:val="FirstParagraph"/>
      </w:pPr>
      <w:r>
        <w:t xml:space="preserve">Emissions from this stage are directly calculated from the provided BOM, multiplying the quantity of each material by its specific emission factor.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ABS Plastic Enclosure</w:t>
            </w:r>
          </w:p>
        </w:tc>
        <w:tc>
          <w:tcPr/>
          <w:p>
            <w:pPr>
              <w:pStyle w:val="Compact"/>
              <w:jc w:val="left"/>
            </w:pPr>
            <w:r>
              <w:t xml:space="preserve">0.30 kg</w:t>
            </w:r>
          </w:p>
        </w:tc>
        <w:tc>
          <w:tcPr/>
          <w:p>
            <w:pPr>
              <w:pStyle w:val="Compact"/>
              <w:jc w:val="left"/>
            </w:pPr>
            <w:r>
              <w:t xml:space="preserve">2.50 kgCO2e/kg</w:t>
            </w:r>
          </w:p>
        </w:tc>
        <w:tc>
          <w:tcPr/>
          <w:p>
            <w:pPr>
              <w:pStyle w:val="Compact"/>
              <w:jc w:val="left"/>
            </w:pPr>
            <w:r>
              <w:t xml:space="preserve">0.750</w:t>
            </w:r>
          </w:p>
        </w:tc>
      </w:tr>
      <w:tr>
        <w:tc>
          <w:tcPr/>
          <w:p>
            <w:pPr>
              <w:pStyle w:val="Compact"/>
              <w:jc w:val="left"/>
            </w:pPr>
            <w:r>
              <w:t xml:space="preserve">Copper Wire</w:t>
            </w:r>
          </w:p>
        </w:tc>
        <w:tc>
          <w:tcPr/>
          <w:p>
            <w:pPr>
              <w:pStyle w:val="Compact"/>
              <w:jc w:val="left"/>
            </w:pPr>
            <w:r>
              <w:t xml:space="preserve">0.05 kg</w:t>
            </w:r>
          </w:p>
        </w:tc>
        <w:tc>
          <w:tcPr/>
          <w:p>
            <w:pPr>
              <w:pStyle w:val="Compact"/>
              <w:jc w:val="left"/>
            </w:pPr>
            <w:r>
              <w:t xml:space="preserve">4.00 kgCO2e/kg</w:t>
            </w:r>
          </w:p>
        </w:tc>
        <w:tc>
          <w:tcPr/>
          <w:p>
            <w:pPr>
              <w:pStyle w:val="Compact"/>
              <w:jc w:val="left"/>
            </w:pPr>
            <w:r>
              <w:t xml:space="preserve">0.200</w:t>
            </w:r>
          </w:p>
        </w:tc>
      </w:tr>
      <w:tr>
        <w:tc>
          <w:tcPr/>
          <w:p>
            <w:pPr>
              <w:pStyle w:val="Compact"/>
              <w:jc w:val="left"/>
            </w:pPr>
            <w:r>
              <w:t xml:space="preserve">Printed Circuit Board (PCB)</w:t>
            </w:r>
          </w:p>
        </w:tc>
        <w:tc>
          <w:tcPr/>
          <w:p>
            <w:pPr>
              <w:pStyle w:val="Compact"/>
              <w:jc w:val="left"/>
            </w:pPr>
            <w:r>
              <w:t xml:space="preserve">0.10 unit</w:t>
            </w:r>
          </w:p>
        </w:tc>
        <w:tc>
          <w:tcPr/>
          <w:p>
            <w:pPr>
              <w:pStyle w:val="Compact"/>
              <w:jc w:val="left"/>
            </w:pPr>
            <w:r>
              <w:t xml:space="preserve">5.00 kgCO2e/unit</w:t>
            </w:r>
          </w:p>
        </w:tc>
        <w:tc>
          <w:tcPr/>
          <w:p>
            <w:pPr>
              <w:pStyle w:val="Compact"/>
              <w:jc w:val="left"/>
            </w:pPr>
            <w:r>
              <w:t xml:space="preserve">0.500</w:t>
            </w:r>
          </w:p>
        </w:tc>
      </w:tr>
      <w:tr>
        <w:tc>
          <w:tcPr/>
          <w:p>
            <w:pPr>
              <w:pStyle w:val="Compact"/>
              <w:jc w:val="left"/>
            </w:pPr>
            <w:r>
              <w:t xml:space="preserve">Lithium-ion Battery</w:t>
            </w:r>
          </w:p>
        </w:tc>
        <w:tc>
          <w:tcPr/>
          <w:p>
            <w:pPr>
              <w:pStyle w:val="Compact"/>
              <w:jc w:val="left"/>
            </w:pPr>
            <w:r>
              <w:t xml:space="preserve">0.20 unit</w:t>
            </w:r>
          </w:p>
        </w:tc>
        <w:tc>
          <w:tcPr/>
          <w:p>
            <w:pPr>
              <w:pStyle w:val="Compact"/>
              <w:jc w:val="left"/>
            </w:pPr>
            <w:r>
              <w:t xml:space="preserve">15.00 kgCO2e/unit</w:t>
            </w:r>
          </w:p>
        </w:tc>
        <w:tc>
          <w:tcPr/>
          <w:p>
            <w:pPr>
              <w:pStyle w:val="Compact"/>
              <w:jc w:val="left"/>
            </w:pPr>
            <w:r>
              <w:t xml:space="preserve">3.000</w:t>
            </w:r>
          </w:p>
        </w:tc>
      </w:tr>
      <w:tr>
        <w:tc>
          <w:tcPr/>
          <w:p>
            <w:pPr>
              <w:pStyle w:val="Compact"/>
              <w:jc w:val="left"/>
            </w:pPr>
            <w:r>
              <w:t xml:space="preserve">Steel Screws</w:t>
            </w:r>
          </w:p>
        </w:tc>
        <w:tc>
          <w:tcPr/>
          <w:p>
            <w:pPr>
              <w:pStyle w:val="Compact"/>
              <w:jc w:val="left"/>
            </w:pPr>
            <w:r>
              <w:t xml:space="preserve">0.02 kg</w:t>
            </w:r>
          </w:p>
        </w:tc>
        <w:tc>
          <w:tcPr/>
          <w:p>
            <w:pPr>
              <w:pStyle w:val="Compact"/>
              <w:jc w:val="left"/>
            </w:pPr>
            <w:r>
              <w:t xml:space="preserve">1.80 kgCO2e/kg</w:t>
            </w:r>
          </w:p>
        </w:tc>
        <w:tc>
          <w:tcPr/>
          <w:p>
            <w:pPr>
              <w:pStyle w:val="Compact"/>
              <w:jc w:val="left"/>
            </w:pPr>
            <w:r>
              <w:t xml:space="preserve">0.036</w:t>
            </w:r>
          </w:p>
        </w:tc>
      </w:tr>
      <w:tr>
        <w:tc>
          <w:tcPr/>
          <w:p>
            <w:pPr>
              <w:pStyle w:val="Compact"/>
              <w:jc w:val="left"/>
            </w:pPr>
            <w:r>
              <w:t xml:space="preserve">Packaging (Cardboard)</w:t>
            </w:r>
          </w:p>
        </w:tc>
        <w:tc>
          <w:tcPr/>
          <w:p>
            <w:pPr>
              <w:pStyle w:val="Compact"/>
              <w:jc w:val="left"/>
            </w:pPr>
            <w:r>
              <w:t xml:space="preserve">0.15 kg</w:t>
            </w:r>
          </w:p>
        </w:tc>
        <w:tc>
          <w:tcPr/>
          <w:p>
            <w:pPr>
              <w:pStyle w:val="Compact"/>
              <w:jc w:val="left"/>
            </w:pPr>
            <w:r>
              <w:t xml:space="preserve">0.80 kgCO2e/kg</w:t>
            </w:r>
          </w:p>
        </w:tc>
        <w:tc>
          <w:tcPr/>
          <w:p>
            <w:pPr>
              <w:pStyle w:val="Compact"/>
              <w:jc w:val="left"/>
            </w:pPr>
            <w:r>
              <w:t xml:space="preserve">0.120</w:t>
            </w:r>
          </w:p>
        </w:tc>
      </w:tr>
      <w:tr>
        <w:tc>
          <w:tcPr/>
          <w:p>
            <w:pPr>
              <w:pStyle w:val="Compact"/>
              <w:jc w:val="left"/>
            </w:pPr>
            <w:r>
              <w:rPr>
                <w:bCs/>
                <w:b/>
              </w:rPr>
              <w:t xml:space="preserve">Subtotal Materials</w:t>
            </w:r>
          </w:p>
        </w:tc>
        <w:tc>
          <w:tcPr/>
          <w:p>
            <w:pPr>
              <w:pStyle w:val="Compact"/>
            </w:pPr>
          </w:p>
        </w:tc>
        <w:tc>
          <w:tcPr/>
          <w:p>
            <w:pPr>
              <w:pStyle w:val="Compact"/>
            </w:pPr>
          </w:p>
        </w:tc>
        <w:tc>
          <w:tcPr/>
          <w:p>
            <w:pPr>
              <w:pStyle w:val="Compact"/>
              <w:jc w:val="left"/>
            </w:pPr>
            <w:r>
              <w:rPr>
                <w:bCs/>
                <w:b/>
              </w:rPr>
              <w:t xml:space="preserve">4.606 kgCO2e</w:t>
            </w:r>
          </w:p>
        </w:tc>
      </w:tr>
    </w:tbl>
    <w:bookmarkEnd w:id="37"/>
    <w:bookmarkStart w:id="38" w:name="manufacturing-scope-1-scope-2"/>
    <w:p>
      <w:pPr>
        <w:pStyle w:val="Heading3"/>
      </w:pPr>
      <w:r>
        <w:t xml:space="preserve">4.2. Manufacturing (Scope 1 &amp; Scope 2)</w:t>
      </w:r>
    </w:p>
    <w:p>
      <w:pPr>
        <w:pStyle w:val="FirstParagraph"/>
      </w:pPr>
      <w:r>
        <w:t xml:space="preserve">This stage accounts for energy consumed during the final product assembly in China.</w:t>
      </w:r>
    </w:p>
    <w:p>
      <w:pPr>
        <w:numPr>
          <w:ilvl w:val="0"/>
          <w:numId w:val="1010"/>
        </w:numPr>
        <w:pStyle w:val="Compact"/>
      </w:pPr>
      <w:r>
        <w:t xml:space="preserve">Total Energy Intensity: 12 kWh/unit</w:t>
      </w:r>
    </w:p>
    <w:p>
      <w:pPr>
        <w:numPr>
          <w:ilvl w:val="0"/>
          <w:numId w:val="1010"/>
        </w:numPr>
        <w:pStyle w:val="Compact"/>
      </w:pPr>
      <w:r>
        <w:t xml:space="preserve">Renewable Energy Usage: 60%</w:t>
      </w:r>
    </w:p>
    <w:p>
      <w:pPr>
        <w:numPr>
          <w:ilvl w:val="0"/>
          <w:numId w:val="1010"/>
        </w:numPr>
        <w:pStyle w:val="Compact"/>
      </w:pPr>
      <w:r>
        <w:t xml:space="preserve">Non-Renewable Energy Usage: 100% - 60% = 40%</w:t>
      </w:r>
    </w:p>
    <w:p>
      <w:pPr>
        <w:numPr>
          <w:ilvl w:val="0"/>
          <w:numId w:val="1010"/>
        </w:numPr>
        <w:pStyle w:val="Compact"/>
      </w:pPr>
      <w:r>
        <w:t xml:space="preserve">Energy from non-renewable sources: 12 kWh/unit * 40% = 4.8 kWh/unit</w:t>
      </w:r>
    </w:p>
    <w:p>
      <w:pPr>
        <w:numPr>
          <w:ilvl w:val="0"/>
          <w:numId w:val="1010"/>
        </w:numPr>
        <w:pStyle w:val="Compact"/>
      </w:pPr>
      <w:r>
        <w:t xml:space="preserve">China Electricity Grid Emission Factor: 0.55 kgCO2e/kWh</w:t>
      </w:r>
    </w:p>
    <w:p>
      <w:pPr>
        <w:numPr>
          <w:ilvl w:val="0"/>
          <w:numId w:val="1010"/>
        </w:numPr>
        <w:pStyle w:val="Compact"/>
      </w:pPr>
      <w:r>
        <w:rPr>
          <w:bCs/>
          <w:b/>
        </w:rPr>
        <w:t xml:space="preserve">Scope 2 Emissions (Purchased Electricity):</w:t>
      </w:r>
      <w:r>
        <w:t xml:space="preserve"> </w:t>
      </w:r>
      <w:r>
        <w:t xml:space="preserve">4.8 kWh/unit * 0.55 kgCO2e/kWh =</w:t>
      </w:r>
      <w:r>
        <w:t xml:space="preserve"> </w:t>
      </w:r>
      <w:r>
        <w:rPr>
          <w:bCs/>
          <w:b/>
        </w:rPr>
        <w:t xml:space="preserve">2.640 kgCO2e</w:t>
      </w:r>
    </w:p>
    <w:p>
      <w:pPr>
        <w:pStyle w:val="FirstParagraph"/>
      </w:pPr>
      <w:r>
        <w:rPr>
          <w:iCs/>
          <w:i/>
        </w:rPr>
        <w:t xml:space="preserve">Scope 1 emissions (direct fuel combustion) are assumed to be negligible for the final assembly process for \'wiilfdygnm\' based on the provided parameters, or are covered by the facility\'s overall energy consumption accounted for in Scope 2.</w:t>
      </w:r>
    </w:p>
    <w:bookmarkEnd w:id="38"/>
    <w:bookmarkStart w:id="39" w:name="X981923b8cb60f0edee598a5efe02199461582eb"/>
    <w:p>
      <w:pPr>
        <w:pStyle w:val="Heading3"/>
      </w:pPr>
      <w:r>
        <w:t xml:space="preserve">4.3. Transportation (Scope 3 - Upstream &amp; Downstream)</w:t>
      </w:r>
    </w:p>
    <w:p>
      <w:pPr>
        <w:pStyle w:val="FirstParagraph"/>
      </w:pPr>
      <w:r>
        <w:t xml:space="preserve">Emissions from various transport legs are calculated using distances and estimated product weights. Total product weight is assumed to be 1.0 kg for transport calculations.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Leg</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w:t>
            </w:r>
          </w:p>
        </w:tc>
        <w:tc>
          <w:tcPr/>
          <w:p>
            <w:pPr>
              <w:pStyle w:val="Compact"/>
              <w:jc w:val="left"/>
            </w:pPr>
            <w:r>
              <w:t xml:space="preserve">Emission Factor (kgCO2e/tkm)</w:t>
            </w:r>
          </w:p>
        </w:tc>
        <w:tc>
          <w:tcPr/>
          <w:p>
            <w:pPr>
              <w:pStyle w:val="Compact"/>
              <w:jc w:val="left"/>
            </w:pPr>
            <w:r>
              <w:t xml:space="preserve">Total Carbon (kgCO2e)</w:t>
            </w:r>
          </w:p>
        </w:tc>
      </w:tr>
      <w:tr>
        <w:tc>
          <w:tcPr/>
          <w:p>
            <w:pPr>
              <w:pStyle w:val="Compact"/>
              <w:jc w:val="left"/>
            </w:pPr>
            <w:r>
              <w:t xml:space="preserve">Materials to component mfg (EU)</w:t>
            </w:r>
          </w:p>
        </w:tc>
        <w:tc>
          <w:tcPr/>
          <w:p>
            <w:pPr>
              <w:pStyle w:val="Compact"/>
              <w:jc w:val="left"/>
            </w:pPr>
            <w:r>
              <w:t xml:space="preserve">Road Freight (HGV)</w:t>
            </w:r>
          </w:p>
        </w:tc>
        <w:tc>
          <w:tcPr/>
          <w:p>
            <w:pPr>
              <w:pStyle w:val="Compact"/>
              <w:jc w:val="left"/>
            </w:pPr>
            <w:r>
              <w:t xml:space="preserve">500</w:t>
            </w:r>
          </w:p>
        </w:tc>
        <w:tc>
          <w:tcPr/>
          <w:p>
            <w:pPr>
              <w:pStyle w:val="Compact"/>
              <w:jc w:val="left"/>
            </w:pPr>
            <w:r>
              <w:t xml:space="preserve">0.00082</w:t>
            </w:r>
          </w:p>
        </w:tc>
        <w:tc>
          <w:tcPr/>
          <w:p>
            <w:pPr>
              <w:pStyle w:val="Compact"/>
              <w:jc w:val="left"/>
            </w:pPr>
            <w:r>
              <w:t xml:space="preserve">0.10</w:t>
            </w:r>
          </w:p>
        </w:tc>
        <w:tc>
          <w:tcPr/>
          <w:p>
            <w:pPr>
              <w:pStyle w:val="Compact"/>
              <w:jc w:val="left"/>
            </w:pPr>
            <w:r>
              <w:t xml:space="preserve">0.041</w:t>
            </w:r>
          </w:p>
        </w:tc>
      </w:tr>
      <w:tr>
        <w:tc>
          <w:tcPr/>
          <w:p>
            <w:pPr>
              <w:pStyle w:val="Compact"/>
              <w:jc w:val="left"/>
            </w:pPr>
            <w:r>
              <w:t xml:space="preserve">Components to final assembly (EU to China)</w:t>
            </w:r>
          </w:p>
        </w:tc>
        <w:tc>
          <w:tcPr/>
          <w:p>
            <w:pPr>
              <w:pStyle w:val="Compact"/>
              <w:jc w:val="left"/>
            </w:pPr>
            <w:r>
              <w:t xml:space="preserve">Sea Freight (Container)</w:t>
            </w:r>
          </w:p>
        </w:tc>
        <w:tc>
          <w:tcPr/>
          <w:p>
            <w:pPr>
              <w:pStyle w:val="Compact"/>
              <w:jc w:val="left"/>
            </w:pPr>
            <w:r>
              <w:t xml:space="preserve">15,000</w:t>
            </w:r>
          </w:p>
        </w:tc>
        <w:tc>
          <w:tcPr/>
          <w:p>
            <w:pPr>
              <w:pStyle w:val="Compact"/>
              <w:jc w:val="left"/>
            </w:pPr>
            <w:r>
              <w:t xml:space="preserve">0.00082</w:t>
            </w:r>
          </w:p>
        </w:tc>
        <w:tc>
          <w:tcPr/>
          <w:p>
            <w:pPr>
              <w:pStyle w:val="Compact"/>
              <w:jc w:val="left"/>
            </w:pPr>
            <w:r>
              <w:t xml:space="preserve">0.01</w:t>
            </w:r>
          </w:p>
        </w:tc>
        <w:tc>
          <w:tcPr/>
          <w:p>
            <w:pPr>
              <w:pStyle w:val="Compact"/>
              <w:jc w:val="left"/>
            </w:pPr>
            <w:r>
              <w:t xml:space="preserve">0.123</w:t>
            </w:r>
          </w:p>
        </w:tc>
      </w:tr>
      <w:tr>
        <w:tc>
          <w:tcPr/>
          <w:p>
            <w:pPr>
              <w:pStyle w:val="Compact"/>
              <w:jc w:val="left"/>
            </w:pPr>
            <w:r>
              <w:t xml:space="preserve">Finished product to distribution (China to EU)</w:t>
            </w:r>
          </w:p>
        </w:tc>
        <w:tc>
          <w:tcPr/>
          <w:p>
            <w:pPr>
              <w:pStyle w:val="Compact"/>
              <w:jc w:val="left"/>
            </w:pPr>
            <w:r>
              <w:t xml:space="preserve">Sea Freight (Container)</w:t>
            </w:r>
          </w:p>
        </w:tc>
        <w:tc>
          <w:tcPr/>
          <w:p>
            <w:pPr>
              <w:pStyle w:val="Compact"/>
              <w:jc w:val="left"/>
            </w:pPr>
            <w:r>
              <w:t xml:space="preserve">15,000</w:t>
            </w:r>
          </w:p>
        </w:tc>
        <w:tc>
          <w:tcPr/>
          <w:p>
            <w:pPr>
              <w:pStyle w:val="Compact"/>
              <w:jc w:val="left"/>
            </w:pPr>
            <w:r>
              <w:t xml:space="preserve">0.001</w:t>
            </w:r>
          </w:p>
        </w:tc>
        <w:tc>
          <w:tcPr/>
          <w:p>
            <w:pPr>
              <w:pStyle w:val="Compact"/>
              <w:jc w:val="left"/>
            </w:pPr>
            <w:r>
              <w:t xml:space="preserve">0.01</w:t>
            </w:r>
          </w:p>
        </w:tc>
        <w:tc>
          <w:tcPr/>
          <w:p>
            <w:pPr>
              <w:pStyle w:val="Compact"/>
              <w:jc w:val="left"/>
            </w:pPr>
            <w:r>
              <w:t xml:space="preserve">0.150</w:t>
            </w:r>
          </w:p>
        </w:tc>
      </w:tr>
      <w:tr>
        <w:tc>
          <w:tcPr/>
          <w:p>
            <w:pPr>
              <w:pStyle w:val="Compact"/>
              <w:jc w:val="left"/>
            </w:pPr>
            <w:r>
              <w:t xml:space="preserve">Distribution to customer (EU last mile)</w:t>
            </w:r>
          </w:p>
        </w:tc>
        <w:tc>
          <w:tcPr/>
          <w:p>
            <w:pPr>
              <w:pStyle w:val="Compact"/>
              <w:jc w:val="left"/>
            </w:pPr>
            <w:r>
              <w:t xml:space="preserve">Light Commercial Van</w:t>
            </w:r>
          </w:p>
        </w:tc>
        <w:tc>
          <w:tcPr/>
          <w:p>
            <w:pPr>
              <w:pStyle w:val="Compact"/>
              <w:jc w:val="left"/>
            </w:pPr>
            <w:r>
              <w:t xml:space="preserve">300</w:t>
            </w:r>
          </w:p>
        </w:tc>
        <w:tc>
          <w:tcPr/>
          <w:p>
            <w:pPr>
              <w:pStyle w:val="Compact"/>
              <w:jc w:val="left"/>
            </w:pPr>
            <w:r>
              <w:t xml:space="preserve">0.001</w:t>
            </w:r>
          </w:p>
        </w:tc>
        <w:tc>
          <w:tcPr/>
          <w:p>
            <w:pPr>
              <w:pStyle w:val="Compact"/>
              <w:jc w:val="left"/>
            </w:pPr>
            <w:r>
              <w:t xml:space="preserve">0.0005 (kgCO2e/kg·km)</w:t>
            </w:r>
          </w:p>
        </w:tc>
        <w:tc>
          <w:tcPr/>
          <w:p>
            <w:pPr>
              <w:pStyle w:val="Compact"/>
              <w:jc w:val="left"/>
            </w:pPr>
            <w:r>
              <w:t xml:space="preserve">0.150</w:t>
            </w:r>
          </w:p>
        </w:tc>
      </w:tr>
      <w:tr>
        <w:tc>
          <w:tcPr/>
          <w:p>
            <w:pPr>
              <w:pStyle w:val="Compact"/>
              <w:jc w:val="left"/>
            </w:pPr>
            <w:r>
              <w:rPr>
                <w:bCs/>
                <w:b/>
              </w:rPr>
              <w:t xml:space="preserve">Subtotal Transportation</w:t>
            </w: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0.464 kgCO2e</w:t>
            </w:r>
          </w:p>
        </w:tc>
      </w:tr>
    </w:tbl>
    <w:bookmarkEnd w:id="39"/>
    <w:bookmarkStart w:id="40" w:name="use-phase-scope-3---downstream"/>
    <w:p>
      <w:pPr>
        <w:pStyle w:val="Heading3"/>
      </w:pPr>
      <w:r>
        <w:t xml:space="preserve">4.4. Use Phase (Scope 3 - Downstream)</w:t>
      </w:r>
    </w:p>
    <w:p>
      <w:pPr>
        <w:pStyle w:val="FirstParagraph"/>
      </w:pPr>
      <w:r>
        <w:t xml:space="preserve">Emissions during the product\'s 7-year lifespan from electricity consumption.</w:t>
      </w:r>
    </w:p>
    <w:p>
      <w:pPr>
        <w:numPr>
          <w:ilvl w:val="0"/>
          <w:numId w:val="1011"/>
        </w:numPr>
        <w:pStyle w:val="Compact"/>
      </w:pPr>
      <w:r>
        <w:t xml:space="preserve">Product Lifespan: 7 years</w:t>
      </w:r>
    </w:p>
    <w:p>
      <w:pPr>
        <w:numPr>
          <w:ilvl w:val="0"/>
          <w:numId w:val="1011"/>
        </w:numPr>
        <w:pStyle w:val="Compact"/>
      </w:pPr>
      <w:r>
        <w:t xml:space="preserve">Annual Energy Consumption: 15 kWh/year</w:t>
      </w:r>
    </w:p>
    <w:p>
      <w:pPr>
        <w:numPr>
          <w:ilvl w:val="0"/>
          <w:numId w:val="1011"/>
        </w:numPr>
        <w:pStyle w:val="Compact"/>
      </w:pPr>
      <w:r>
        <w:t xml:space="preserve">Total Lifespan Energy: 15 kWh/year * 7 years = 105 kWh/unit</w:t>
      </w:r>
    </w:p>
    <w:p>
      <w:pPr>
        <w:numPr>
          <w:ilvl w:val="0"/>
          <w:numId w:val="1011"/>
        </w:numPr>
        <w:pStyle w:val="Compact"/>
      </w:pPr>
      <w:r>
        <w:t xml:space="preserve">European Electricity Grid Emission Factor (average): 0.25 kgCO2e/kWh</w:t>
      </w:r>
    </w:p>
    <w:p>
      <w:pPr>
        <w:numPr>
          <w:ilvl w:val="0"/>
          <w:numId w:val="1011"/>
        </w:numPr>
        <w:pStyle w:val="Compact"/>
      </w:pPr>
      <w:r>
        <w:rPr>
          <w:bCs/>
          <w:b/>
        </w:rPr>
        <w:t xml:space="preserve">Use Phase Emissions:</w:t>
      </w:r>
      <w:r>
        <w:t xml:space="preserve"> </w:t>
      </w:r>
      <w:r>
        <w:t xml:space="preserve">105 kWh/unit * 0.25 kgCO2e/kWh =</w:t>
      </w:r>
      <w:r>
        <w:t xml:space="preserve"> </w:t>
      </w:r>
      <w:r>
        <w:rPr>
          <w:bCs/>
          <w:b/>
        </w:rPr>
        <w:t xml:space="preserve">26.250 kgCO2e</w:t>
      </w:r>
    </w:p>
    <w:bookmarkEnd w:id="40"/>
    <w:bookmarkStart w:id="41" w:name="end-of-life-eol-scope-3---downstream"/>
    <w:p>
      <w:pPr>
        <w:pStyle w:val="Heading3"/>
      </w:pPr>
      <w:r>
        <w:t xml:space="preserve">4.5. End-of-Life (EoL) (Scope 3 - Downstream)</w:t>
      </w:r>
    </w:p>
    <w:p>
      <w:pPr>
        <w:pStyle w:val="FirstParagraph"/>
      </w:pPr>
      <w:r>
        <w:t xml:space="preserve">EoL emissions and credits consider recycling and disposal. Total material weight is 0.82 kg.</w:t>
      </w:r>
    </w:p>
    <w:p>
      <w:pPr>
        <w:numPr>
          <w:ilvl w:val="0"/>
          <w:numId w:val="1012"/>
        </w:numPr>
        <w:pStyle w:val="Compact"/>
      </w:pPr>
      <w:r>
        <w:t xml:space="preserve">Recyclability Percentage: 75%</w:t>
      </w:r>
    </w:p>
    <w:p>
      <w:pPr>
        <w:numPr>
          <w:ilvl w:val="0"/>
          <w:numId w:val="1012"/>
        </w:numPr>
        <w:pStyle w:val="Compact"/>
      </w:pPr>
      <w:r>
        <w:t xml:space="preserve">Circular/Take-back Programs: 10% additional capture for recycling due to programs.</w:t>
      </w:r>
    </w:p>
    <w:p>
      <w:pPr>
        <w:numPr>
          <w:ilvl w:val="0"/>
          <w:numId w:val="1012"/>
        </w:numPr>
        <w:pStyle w:val="Compact"/>
      </w:pPr>
      <w:r>
        <w:t xml:space="preserve">Effective Recycling Rate: 75% + (100% - 75%) * 10% = 75% + 2.5% = 77.5%</w:t>
      </w:r>
    </w:p>
    <w:p>
      <w:pPr>
        <w:numPr>
          <w:ilvl w:val="0"/>
          <w:numId w:val="1012"/>
        </w:numPr>
        <w:pStyle w:val="Compact"/>
      </w:pPr>
      <w:r>
        <w:t xml:space="preserve">Material Recycled: 0.82 kg * 77.5% = 0.6355 kg</w:t>
      </w:r>
    </w:p>
    <w:p>
      <w:pPr>
        <w:numPr>
          <w:ilvl w:val="0"/>
          <w:numId w:val="1012"/>
        </w:numPr>
        <w:pStyle w:val="Compact"/>
      </w:pPr>
      <w:r>
        <w:t xml:space="preserve">Material Disposed: 0.82 kg * (100% - 77.5%) = 0.82 kg * 22.5% = 0.1845 kg</w:t>
      </w:r>
    </w:p>
    <w:p>
      <w:pPr>
        <w:numPr>
          <w:ilvl w:val="0"/>
          <w:numId w:val="1012"/>
        </w:numPr>
        <w:pStyle w:val="Compact"/>
      </w:pPr>
      <w:r>
        <w:t xml:space="preserve">Recycling Credit (avoided emissions): 0.6355 kg * -0.5 kgCO2e/kg = -0.31775 kgCO2e</w:t>
      </w:r>
    </w:p>
    <w:p>
      <w:pPr>
        <w:numPr>
          <w:ilvl w:val="0"/>
          <w:numId w:val="1012"/>
        </w:numPr>
        <w:pStyle w:val="Compact"/>
      </w:pPr>
      <w:r>
        <w:t xml:space="preserve">Disposal Emissions (landfill/incineration): 0.1845 kg * 1 kgCO2e/kg = 0.1845 kgCO2e</w:t>
      </w:r>
    </w:p>
    <w:p>
      <w:pPr>
        <w:numPr>
          <w:ilvl w:val="0"/>
          <w:numId w:val="1012"/>
        </w:numPr>
        <w:pStyle w:val="Compact"/>
      </w:pPr>
      <w:r>
        <w:rPr>
          <w:bCs/>
          <w:b/>
        </w:rPr>
        <w:t xml:space="preserve">Net End-of-Life Emissions:</w:t>
      </w:r>
      <w:r>
        <w:t xml:space="preserve"> </w:t>
      </w:r>
      <w:r>
        <w:t xml:space="preserve">0.1845 kgCO2e - 0.31775 kgCO2e =</w:t>
      </w:r>
      <w:r>
        <w:t xml:space="preserve"> </w:t>
      </w:r>
      <w:r>
        <w:rPr>
          <w:bCs/>
          <w:b/>
        </w:rPr>
        <w:t xml:space="preserve">-0.133 kgCO2e</w:t>
      </w:r>
    </w:p>
    <w:p>
      <w:pPr>
        <w:pStyle w:val="FirstParagraph"/>
      </w:pPr>
      <w:r>
        <w:rPr>
          <w:iCs/>
          <w:i/>
        </w:rPr>
        <w:t xml:space="preserve">The negative value indicates a net carbon credit due to the high recyclability and effective take-back programs.</w:t>
      </w:r>
    </w:p>
    <w:p>
      <w:r>
        <w:pict>
          <v:rect style="width:0;height:1.5pt" o:hralign="center" o:hrstd="t" o:hr="t"/>
        </w:pict>
      </w:r>
    </w:p>
    <w:bookmarkEnd w:id="41"/>
    <w:bookmarkEnd w:id="42"/>
    <w:bookmarkStart w:id="43" w:name="total-product-carbon-footprint-summary"/>
    <w:p>
      <w:pPr>
        <w:pStyle w:val="Heading2"/>
      </w:pPr>
      <w:r>
        <w:t xml:space="preserve">Total Product Carbon Footprint Summary</w:t>
      </w:r>
    </w:p>
    <w:p>
      <w:pPr>
        <w:pStyle w:val="FirstParagraph"/>
      </w:pPr>
      <w:r>
        <w:t xml:space="preserve">The total carbon footprint for one functional unit of \'wiilfdygnm\' is summarized below, categorized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Total CO2e (kg)</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4.606</w:t>
            </w:r>
          </w:p>
        </w:tc>
      </w:tr>
      <w:tr>
        <w:tc>
          <w:tcPr/>
          <w:p>
            <w:pPr>
              <w:pStyle w:val="Compact"/>
              <w:jc w:val="left"/>
            </w:pPr>
            <w:r>
              <w:t xml:space="preserve">Manufacturing (Non-renewable energy)</w:t>
            </w:r>
          </w:p>
        </w:tc>
        <w:tc>
          <w:tcPr/>
          <w:p>
            <w:pPr>
              <w:pStyle w:val="Compact"/>
              <w:jc w:val="left"/>
            </w:pPr>
            <w:r>
              <w:t xml:space="preserve">Scope 2</w:t>
            </w:r>
          </w:p>
        </w:tc>
        <w:tc>
          <w:tcPr/>
          <w:p>
            <w:pPr>
              <w:pStyle w:val="Compact"/>
              <w:jc w:val="left"/>
            </w:pPr>
            <w:r>
              <w:t xml:space="preserve">2.640</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0.164 (Materials + Components)</w:t>
            </w:r>
          </w:p>
        </w:tc>
      </w:tr>
      <w:tr>
        <w:tc>
          <w:tcPr/>
          <w:p>
            <w:pPr>
              <w:pStyle w:val="Compact"/>
              <w:jc w:val="left"/>
            </w:pPr>
            <w:r>
              <w:t xml:space="preserve">Transportation (Downstream)</w:t>
            </w:r>
          </w:p>
        </w:tc>
        <w:tc>
          <w:tcPr/>
          <w:p>
            <w:pPr>
              <w:pStyle w:val="Compact"/>
              <w:jc w:val="left"/>
            </w:pPr>
            <w:r>
              <w:t xml:space="preserve">Scope 3 (Downstream)</w:t>
            </w:r>
          </w:p>
        </w:tc>
        <w:tc>
          <w:tcPr/>
          <w:p>
            <w:pPr>
              <w:pStyle w:val="Compact"/>
              <w:jc w:val="left"/>
            </w:pPr>
            <w:r>
              <w:t xml:space="preserve">0.300 (Finished Product + Last Mile)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26.250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-0.133</w:t>
            </w:r>
          </w:p>
        </w:tc>
      </w:tr>
      <w:tr>
        <w:tc>
          <w:tcPr/>
          <w:p>
            <w:pPr>
              <w:pStyle w:val="Compact"/>
              <w:jc w:val="left"/>
            </w:pPr>
            <w:r>
              <w:rPr>
                <w:bCs/>
                <w:b/>
              </w:rPr>
              <w:t xml:space="preserve">TOTAL PCF per unit</w:t>
            </w:r>
          </w:p>
        </w:tc>
        <w:tc>
          <w:tcPr/>
          <w:p>
            <w:pPr>
              <w:pStyle w:val="Compact"/>
            </w:pPr>
          </w:p>
        </w:tc>
        <w:tc>
          <w:tcPr/>
          <w:p>
            <w:pPr>
              <w:pStyle w:val="Compact"/>
              <w:jc w:val="left"/>
            </w:pPr>
            <w:r>
              <w:rPr>
                <w:bCs/>
                <w:b/>
              </w:rPr>
              <w:t xml:space="preserve">33.827 kgCO2e</w:t>
            </w:r>
          </w:p>
        </w:tc>
      </w:tr>
    </w:tbl>
    <w:p>
      <w:pPr>
        <w:pStyle w:val="BodyText"/>
      </w:pPr>
      <w:r>
        <w:rPr>
          <w:iCs/>
          <w:i/>
        </w:rPr>
        <w:t xml:space="preserve">Note: Scope 1 emissions are considered negligible for direct operational emissions at the product level for \'wiilfdygnm\' based on available parameters.</w:t>
      </w:r>
    </w:p>
    <w:p>
      <w:r>
        <w:pict>
          <v:rect style="width:0;height:1.5pt" o:hralign="center" o:hrstd="t" o:hr="t"/>
        </w:pict>
      </w:r>
    </w:p>
    <w:bookmarkEnd w:id="43"/>
    <w:bookmarkStart w:id="49" w:name="review-report"/>
    <w:p>
      <w:pPr>
        <w:pStyle w:val="Heading2"/>
      </w:pPr>
      <w:r>
        <w:t xml:space="preserve">5. Review &amp; Report</w:t>
      </w:r>
    </w:p>
    <w:bookmarkStart w:id="44" w:name="hotspot-identification"/>
    <w:p>
      <w:pPr>
        <w:pStyle w:val="Heading3"/>
      </w:pPr>
      <w:r>
        <w:t xml:space="preserve">Hotspot Identification</w:t>
      </w:r>
    </w:p>
    <w:p>
      <w:pPr>
        <w:pStyle w:val="FirstParagraph"/>
      </w:pPr>
      <w:r>
        <w:t xml:space="preserve">Analysis of the carbon footprint reveals the following hotspots:</w:t>
      </w:r>
    </w:p>
    <w:p>
      <w:pPr>
        <w:numPr>
          <w:ilvl w:val="0"/>
          <w:numId w:val="1013"/>
        </w:numPr>
        <w:pStyle w:val="Compact"/>
      </w:pPr>
      <w:r>
        <w:rPr>
          <w:bCs/>
          <w:b/>
        </w:rPr>
        <w:t xml:space="preserve">Use Phase:</w:t>
      </w:r>
      <w:r>
        <w:t xml:space="preserve"> </w:t>
      </w:r>
      <w:r>
        <w:t xml:space="preserve">With 26.250 kgCO2e (approximately 77.6% of the total footprint), the product\'s energy consumption during its 7-year lifespan is by far the largest contributor. This is primarily due to the energy source for household electricity in Europe.</w:t>
      </w:r>
    </w:p>
    <w:p>
      <w:pPr>
        <w:numPr>
          <w:ilvl w:val="0"/>
          <w:numId w:val="1013"/>
        </w:numPr>
        <w:pStyle w:val="Compact"/>
      </w:pPr>
      <w:r>
        <w:rPr>
          <w:bCs/>
          <w:b/>
        </w:rPr>
        <w:t xml:space="preserve">Material Acquisition &amp; Pre-processing:</w:t>
      </w:r>
      <w:r>
        <w:t xml:space="preserve"> </w:t>
      </w:r>
      <w:r>
        <w:t xml:space="preserve">Contributing 4.606 kgCO2e (approximately 13.6%), the raw materials, particularly the Lithium-ion Battery and PCB, represent the second most significant impact.</w:t>
      </w:r>
    </w:p>
    <w:p>
      <w:pPr>
        <w:numPr>
          <w:ilvl w:val="0"/>
          <w:numId w:val="1013"/>
        </w:numPr>
        <w:pStyle w:val="Compact"/>
      </w:pPr>
      <w:r>
        <w:rPr>
          <w:bCs/>
          <w:b/>
        </w:rPr>
        <w:t xml:space="preserve">Manufacturing (Scope 2):</w:t>
      </w:r>
      <w:r>
        <w:t xml:space="preserve"> </w:t>
      </w:r>
      <w:r>
        <w:t xml:space="preserve">Emissions from purchased electricity for manufacturing in China (2.640 kgCO2e, ~7.8%) are also a notable area, despite 60% renewable energy usage. The remaining 40% from the China grid mix still carries a high carbon intensity.</w:t>
      </w:r>
    </w:p>
    <w:bookmarkEnd w:id="44"/>
    <w:bookmarkStart w:id="45" w:name="reliability-assessment"/>
    <w:p>
      <w:pPr>
        <w:pStyle w:val="Heading3"/>
      </w:pPr>
      <w:r>
        <w:t xml:space="preserve">Reliability Assessment</w:t>
      </w:r>
    </w:p>
    <w:p>
      <w:pPr>
        <w:pStyle w:val="FirstParagraph"/>
      </w:pPr>
      <w:r>
        <w:t xml:space="preserve">The reliability of this PCF analysis is considered high for the upstream stages (materials and manufacturing) where detailed BOM and energy data were provided. Downstream stages (transport, use phase, EoL) rely on specific assumptions for distances, energy consumption patterns, and EoL scenarios, which are based on industry averages and the provided parameters. While these assumptions are robust, primary data for actual consumer use patterns and specific EoL infrastructure would further enhance accuracy.</w:t>
      </w:r>
    </w:p>
    <w:bookmarkEnd w:id="45"/>
    <w:bookmarkStart w:id="46" w:name="Xa93906bb67ec9154f1ee89ba7d04a4755f4e5b7"/>
    <w:p>
      <w:pPr>
        <w:pStyle w:val="Heading3"/>
      </w:pPr>
      <w:r>
        <w:t xml:space="preserve">GHG Protocol Compliance and 2026 LSR Update</w:t>
      </w:r>
    </w:p>
    <w:p>
      <w:pPr>
        <w:pStyle w:val="FirstParagraph"/>
      </w:pPr>
      <w:r>
        <w:t xml:space="preserve">This report strictly adheres to the GHG Protocol\'s principles for calculating and reporting greenhouse gas emissions. All relevant emissions are categorized into Scope 1, Scope 2, and Scope 3 as defined by the standard.</w:t>
      </w:r>
    </w:p>
    <w:p>
      <w:pPr>
        <w:numPr>
          <w:ilvl w:val="0"/>
          <w:numId w:val="1014"/>
        </w:numPr>
        <w:pStyle w:val="Compact"/>
      </w:pPr>
      <w:r>
        <w:rPr>
          <w:bCs/>
          <w:b/>
        </w:rPr>
        <w:t xml:space="preserve">Scope 1:</w:t>
      </w:r>
      <w:r>
        <w:t xml:space="preserve"> </w:t>
      </w:r>
      <w:r>
        <w:t xml:space="preserve">No direct operational emissions quantified for the product\'s manufacturing process from the provided parameters.</w:t>
      </w:r>
    </w:p>
    <w:p>
      <w:pPr>
        <w:numPr>
          <w:ilvl w:val="0"/>
          <w:numId w:val="1014"/>
        </w:numPr>
        <w:pStyle w:val="Compact"/>
      </w:pPr>
      <w:r>
        <w:rPr>
          <w:bCs/>
          <w:b/>
        </w:rPr>
        <w:t xml:space="preserve">Scope 2:</w:t>
      </w:r>
      <w:r>
        <w:t xml:space="preserve"> </w:t>
      </w:r>
      <w:r>
        <w:t xml:space="preserve">Emissions from purchased electricity for manufacturing are calculated.</w:t>
      </w:r>
    </w:p>
    <w:p>
      <w:pPr>
        <w:numPr>
          <w:ilvl w:val="0"/>
          <w:numId w:val="1014"/>
        </w:numPr>
        <w:pStyle w:val="Compact"/>
      </w:pPr>
      <w:r>
        <w:rPr>
          <w:bCs/>
          <w:b/>
        </w:rPr>
        <w:t xml:space="preserve">Scope 3:</w:t>
      </w:r>
      <w:r>
        <w:t xml:space="preserve"> </w:t>
      </w:r>
      <w:r>
        <w:t xml:space="preserve">Comprehensive coverage of upstream (material acquisition, pre-processing, inbound transport) and downstream (outbound transport, use phase, end-of-life) emissions ensures compliance with the 95% coverage requirement for Scope 3 reporting as per 2026 requirements.</w:t>
      </w:r>
    </w:p>
    <w:p>
      <w:pPr>
        <w:numPr>
          <w:ilvl w:val="0"/>
          <w:numId w:val="1014"/>
        </w:numPr>
        <w:pStyle w:val="Compact"/>
      </w:pPr>
      <w:r>
        <w:rPr>
          <w:bCs/>
          <w:b/>
        </w:rPr>
        <w:t xml:space="preserve">2026 Land Sector and Removals (LSR) Standard:</w:t>
      </w:r>
      <w:r>
        <w:t xml:space="preserve"> </w:t>
      </w:r>
      <w:r>
        <w:t xml:space="preserve">The principles of the LSR Standard are acknowledged. While specific data for land-use change or carbon removals associated directly with \'wiilfdygnm\' components or processes were not provided, the framework for assessing such impacts would be applied if relevant data becomes available. The current analysis primarily focuses on direct material and energy flows.</w:t>
      </w:r>
    </w:p>
    <w:bookmarkEnd w:id="46"/>
    <w:bookmarkStart w:id="48" w:name="recommendations-for-reduction"/>
    <w:p>
      <w:pPr>
        <w:pStyle w:val="Heading3"/>
      </w:pPr>
      <w:r>
        <w:t xml:space="preserve">Recommendations for Reduction</w:t>
      </w:r>
    </w:p>
    <w:p>
      <w:pPr>
        <w:numPr>
          <w:ilvl w:val="0"/>
          <w:numId w:val="1015"/>
        </w:numPr>
        <w:pStyle w:val="Compact"/>
      </w:pPr>
      <w:r>
        <w:rPr>
          <w:bCs/>
          <w:b/>
        </w:rPr>
        <w:t xml:space="preserve">Use Phase Optimization:</w:t>
      </w:r>
      <w:r>
        <w:t xml:space="preserve"> </w:t>
      </w:r>
      <w:r>
        <w:t xml:space="preserve">Investigate options for reducing energy consumption during the product\'s use phase, potentially through more energy-efficient design or promoting usage with renewable energy sources.</w:t>
      </w:r>
    </w:p>
    <w:p>
      <w:pPr>
        <w:numPr>
          <w:ilvl w:val="0"/>
          <w:numId w:val="1015"/>
        </w:numPr>
        <w:pStyle w:val="Compact"/>
      </w:pPr>
      <w:r>
        <w:rPr>
          <w:bCs/>
          <w:b/>
        </w:rPr>
        <w:t xml:space="preserve">Material Innovations:</w:t>
      </w:r>
      <w:r>
        <w:t xml:space="preserve"> </w:t>
      </w:r>
      <w:r>
        <w:t xml:space="preserve">Explore alternative, lower-carbon materials or increased recycled content for high-impact components like the Lithium-ion Battery and PCB.</w:t>
      </w:r>
    </w:p>
    <w:p>
      <w:pPr>
        <w:numPr>
          <w:ilvl w:val="0"/>
          <w:numId w:val="1015"/>
        </w:numPr>
        <w:pStyle w:val="Compact"/>
      </w:pPr>
      <w:r>
        <w:rPr>
          <w:bCs/>
          <w:b/>
        </w:rPr>
        <w:t xml:space="preserve">Renewable Energy Procurement:</w:t>
      </w:r>
      <w:r>
        <w:t xml:space="preserve"> </w:t>
      </w:r>
      <w:r>
        <w:t xml:space="preserve">Increase the percentage of renewable energy used in the manufacturing facility in China, or work with suppliers to increase their renewable energy share.</w:t>
      </w:r>
    </w:p>
    <w:p>
      <w:pPr>
        <w:numPr>
          <w:ilvl w:val="0"/>
          <w:numId w:val="1015"/>
        </w:numPr>
        <w:pStyle w:val="Compact"/>
      </w:pPr>
      <w:r>
        <w:rPr>
          <w:bCs/>
          <w:b/>
        </w:rPr>
        <w:t xml:space="preserve">Logistics Efficiency:</w:t>
      </w:r>
      <w:r>
        <w:t xml:space="preserve"> </w:t>
      </w:r>
      <w:r>
        <w:t xml:space="preserve">Optimize transport routes and modes, particularly for last-mile delivery, to minimize associated emissions.</w:t>
      </w:r>
    </w:p>
    <w:p>
      <w:pPr>
        <w:numPr>
          <w:ilvl w:val="0"/>
          <w:numId w:val="1015"/>
        </w:numPr>
        <w:pStyle w:val="Compact"/>
      </w:pPr>
      <w:r>
        <w:rPr>
          <w:bCs/>
          <w:b/>
        </w:rPr>
        <w:t xml:space="preserve">Circular Economy Enhancement:</w:t>
      </w:r>
      <w:r>
        <w:t xml:space="preserve"> </w:t>
      </w:r>
      <w:r>
        <w:t xml:space="preserve">Continue and expand circular economy programs to maximize product lifespan, repairability, and end-of-life material recovery.</w: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wiilfdygnm</dc:title>
  <dc:creator/>
  <dc:description>Detailed Product Carbon Footprint (PCF) analysis report for product \'wiilfdygnm\' by company \'jgiollhsqy\', adhering to GHG Protocol standards and 2026 LSR Update requirements.</dc:description>
  <dc:language>en</dc:language>
  <cp:keywords/>
  <dcterms:created xsi:type="dcterms:W3CDTF">2026-07-15T08:32:13Z</dcterms:created>
  <dcterms:modified xsi:type="dcterms:W3CDTF">2026-07-15T08:32:13Z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