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wgjtjzsdnn</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wgjtjzsdnn</w:t>
      </w:r>
    </w:p>
    <w:p>
      <w:pPr>
        <w:pStyle w:val="BodyText"/>
      </w:pPr>
      <w:r>
        <w:rPr>
          <w:bCs/>
          <w:b/>
        </w:rPr>
        <w:t xml:space="preserve">Company:</w:t>
      </w:r>
      <w:r>
        <w:t xml:space="preserve"> </w:t>
      </w:r>
      <w:r>
        <w:t xml:space="preserve">vxzrwoxfzo</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rruvrdsisj</w:t>
      </w:r>
    </w:p>
    <w:p>
      <w:pPr>
        <w:pStyle w:val="BodyText"/>
      </w:pPr>
      <w:r>
        <w:t xml:space="preserve">Disclaimer: This report is generated based on available data and industry standards. While efforts have been made to ensure accuracy, the actual environmental impact may vary depending on real-world conditions and data availability.</w:t>
      </w:r>
    </w:p>
    <w:bookmarkEnd w:id="20"/>
    <w:bookmarkStart w:id="44" w:name="X55892090a8045bda36a1ebc3774b1958a8bd71a"/>
    <w:p>
      <w:pPr>
        <w:pStyle w:val="Heading1"/>
      </w:pPr>
      <w:r>
        <w:t xml:space="preserve">Product Carbon Footprint (PCF) Analysis Report for wgjtjzsdnn</w:t>
      </w:r>
    </w:p>
    <w:p>
      <w:pPr>
        <w:pStyle w:val="FirstParagraph"/>
      </w:pPr>
      <w:r>
        <w:rPr>
          <w:bCs/>
          <w:b/>
        </w:rPr>
        <w:t xml:space="preserve">Generated Date:</w:t>
      </w:r>
      <w:r>
        <w:t xml:space="preserve"> </w:t>
      </w:r>
      <w:r>
        <w:t xml:space="preserve">June 3,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wgjtjzsdnn, manufactured by vxzrwoxfzo. The analysis, conducted by rruvrdsisj, Senior Sustainability Consultant, adheres strictly to the Greenhouse Gas (GHG) Protocol, incorporating the 2026 Land Sector and Removals (LSR) update and ensuring over 95% coverage for Scope 3 emissions. The goal is to quantify the cradle-to-grave carbon emissions (CO2e) of wgjtjzsdnn, identify key hotspots, and provide actionable insights for emission reduction. This assessment considers raw material acquisition, manufacturing, transportation, the use phase, and end-of-life scenarios.</w:t>
      </w:r>
    </w:p>
    <w:p>
      <w:r>
        <w:pict>
          <v:rect style="width:0;height:1.5pt" o:hralign="center" o:hrstd="t" o:hr="t"/>
        </w:pict>
      </w:r>
    </w:p>
    <w:bookmarkEnd w:id="21"/>
    <w:bookmarkStart w:id="22" w:name="scope-definition"/>
    <w:p>
      <w:pPr>
        <w:pStyle w:val="Heading2"/>
      </w:pPr>
      <w:r>
        <w:t xml:space="preserve">1. Scope Definition</w:t>
      </w:r>
    </w:p>
    <w:p>
      <w:pPr>
        <w:pStyle w:val="FirstParagraph"/>
      </w:pPr>
      <w:r>
        <w:t xml:space="preserve">The first step in a PCF analysis is to clearly define the boundaries and parameters of the study.</w:t>
      </w:r>
    </w:p>
    <w:p>
      <w:pPr>
        <w:numPr>
          <w:ilvl w:val="0"/>
          <w:numId w:val="1001"/>
        </w:numPr>
        <w:pStyle w:val="Compact"/>
      </w:pPr>
      <w:r>
        <w:rPr>
          <w:bCs/>
          <w:b/>
        </w:rPr>
        <w:t xml:space="preserve">Functional Unit:</w:t>
      </w:r>
      <w:r>
        <w:t xml:space="preserve"> </w:t>
      </w:r>
      <w:r>
        <w:t xml:space="preserve">1.0 unit of wgjtjzsdnn.</w:t>
      </w:r>
    </w:p>
    <w:p>
      <w:pPr>
        <w:numPr>
          <w:ilvl w:val="0"/>
          <w:numId w:val="1001"/>
        </w:numPr>
        <w:pStyle w:val="Compact"/>
      </w:pPr>
      <w:r>
        <w:rPr>
          <w:bCs/>
          <w:b/>
        </w:rPr>
        <w:t xml:space="preserve">System Boundary:</w:t>
      </w:r>
      <w:r>
        <w:t xml:space="preserve"> </w:t>
      </w:r>
      <w:r>
        <w:t xml:space="preserve">Cradle-to-grave. While the initial focus on "factory_gate" for production emissions is noted, the analysis extends to include downstream use and end-of-life phases as per the provided parameters to offer a comprehensive lifecycle assessment.</w:t>
      </w:r>
    </w:p>
    <w:p>
      <w:pPr>
        <w:numPr>
          <w:ilvl w:val="0"/>
          <w:numId w:val="1001"/>
        </w:numPr>
        <w:pStyle w:val="Compact"/>
      </w:pPr>
      <w:r>
        <w:rPr>
          <w:bCs/>
          <w:b/>
        </w:rPr>
        <w:t xml:space="preserve">Geographic Scope:</w:t>
      </w:r>
      <w:r>
        <w:t xml:space="preserve"> </w:t>
      </w:r>
      <w:r>
        <w:t xml:space="preserve">Final Production Country: China. Supply Chain Focus: Europe Focused. Use Phase: Europe (assumed typical market).</w:t>
      </w:r>
    </w:p>
    <w:p>
      <w:pPr>
        <w:numPr>
          <w:ilvl w:val="0"/>
          <w:numId w:val="1001"/>
        </w:numPr>
        <w:pStyle w:val="Compact"/>
      </w:pPr>
      <w:r>
        <w:rPr>
          <w:bCs/>
          <w:b/>
        </w:rPr>
        <w:t xml:space="preserve">Accounting Standard:</w:t>
      </w:r>
      <w:r>
        <w:t xml:space="preserve"> </w:t>
      </w:r>
      <w:r>
        <w:t xml:space="preserve">GHG Protocol Product Standard, with application of the 2026 Land Sector and Removals (LSR) Standard for relevant land use and carbon removal considerations. Emissions are categorized into Scope 1 (direct), Scope 2 (purchased energy), and Scope 3 (value chain).</w:t>
      </w:r>
    </w:p>
    <w:p>
      <w:pPr>
        <w:numPr>
          <w:ilvl w:val="0"/>
          <w:numId w:val="1001"/>
        </w:numPr>
        <w:pStyle w:val="Compact"/>
      </w:pPr>
      <w:r>
        <w:rPr>
          <w:bCs/>
          <w:b/>
        </w:rPr>
        <w:t xml:space="preserve">Allocation:</w:t>
      </w:r>
      <w:r>
        <w:t xml:space="preserve"> </w:t>
      </w:r>
      <w:r>
        <w:t xml:space="preserve">Emissions from shared processes or facilities are allocated based on mass where direct attribution is not possible. For raw materials, the emissions are directly attributed per unit mass.</w:t>
      </w:r>
    </w:p>
    <w:p>
      <w:r>
        <w:pict>
          <v:rect style="width:0;height:1.5pt" o:hralign="center" o:hrstd="t" o:hr="t"/>
        </w:pict>
      </w:r>
    </w:p>
    <w:bookmarkEnd w:id="22"/>
    <w:bookmarkStart w:id="28" w:name="X07cf0ea829f60a4f8fa47c00f72a11793fbe483"/>
    <w:p>
      <w:pPr>
        <w:pStyle w:val="Heading2"/>
      </w:pPr>
      <w:r>
        <w:t xml:space="preserve">2. Lifecycle Mapping (LCI Inventory Stages) &amp; 3. Data Collection</w:t>
      </w:r>
    </w:p>
    <w:p>
      <w:pPr>
        <w:pStyle w:val="FirstParagraph"/>
      </w:pPr>
      <w:r>
        <w:t xml:space="preserve">This section details the lifecycle stages considered and the specific data collected for each. The analysis relies on a combination of primary data (provided parameters) and secondary data (industry-standard emission factors).</w:t>
      </w:r>
    </w:p>
    <w:bookmarkStart w:id="23" w:name="X1b0368d9fa279ce5f642e6e7a88ce573ab93153"/>
    <w:p>
      <w:pPr>
        <w:pStyle w:val="Heading3"/>
      </w:pPr>
      <w:r>
        <w:t xml:space="preserve">2.1. Raw Material Acquisition &amp; Processing (Scope 3 - Upstream)</w:t>
      </w:r>
    </w:p>
    <w:p>
      <w:pPr>
        <w:pStyle w:val="FirstParagraph"/>
      </w:pPr>
      <w:r>
        <w:t xml:space="preserve">The Detailed Bill of Materials (BOM) for wgjtjzsdnn (oonhowvi) provides specific data for accurate material impact calculation. The "Total Carbon" value for each item, supplied in the BOM, represents its cradle-to-gate impact (material extraction, processing, and manufacturing).</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3.5</w:t>
            </w:r>
          </w:p>
        </w:tc>
        <w:tc>
          <w:tcPr/>
          <w:p>
            <w:pPr>
              <w:pStyle w:val="Compact"/>
              <w:jc w:val="left"/>
            </w:pPr>
            <w:r>
              <w:t xml:space="preserve">1.75</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PCB 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3</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4</w:t>
            </w:r>
          </w:p>
        </w:tc>
        <w:tc>
          <w:tcPr/>
          <w:p>
            <w:pPr>
              <w:pStyle w:val="Compact"/>
              <w:jc w:val="left"/>
            </w:pPr>
            <w:r>
              <w:t xml:space="preserve">Battery</w:t>
            </w:r>
          </w:p>
        </w:tc>
        <w:tc>
          <w:tcPr/>
          <w:p>
            <w:pPr>
              <w:pStyle w:val="Compact"/>
              <w:jc w:val="left"/>
            </w:pPr>
            <w:r>
              <w:t xml:space="preserve">Energy Storage</w:t>
            </w:r>
          </w:p>
        </w:tc>
        <w:tc>
          <w:tcPr/>
          <w:p>
            <w:pPr>
              <w:pStyle w:val="Compact"/>
              <w:jc w:val="left"/>
            </w:pPr>
            <w:r>
              <w:t xml:space="preserve">Lithium-ion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25.0</w:t>
            </w:r>
          </w:p>
        </w:tc>
        <w:tc>
          <w:tcPr/>
          <w:p>
            <w:pPr>
              <w:pStyle w:val="Compact"/>
              <w:jc w:val="left"/>
            </w:pPr>
            <w:r>
              <w:t xml:space="preserve">5.00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Paper Production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w:t>
            </w:r>
          </w:p>
        </w:tc>
      </w:tr>
    </w:tbl>
    <w:p>
      <w:pPr>
        <w:pStyle w:val="BodyText"/>
      </w:pPr>
      <w:r>
        <w:t xml:space="preserve">Total raw material weight: 0.95 kg</w:t>
      </w:r>
    </w:p>
    <w:p>
      <w:pPr>
        <w:pStyle w:val="BodyText"/>
      </w:pPr>
      <w:r>
        <w:t xml:space="preserve">Total emissions from raw materials (pre-calculated in BOM): 8.55 kg CO2e</w:t>
      </w:r>
    </w:p>
    <w:bookmarkEnd w:id="23"/>
    <w:bookmarkStart w:id="24" w:name="manufacturing-production-phase-scope-1-2"/>
    <w:p>
      <w:pPr>
        <w:pStyle w:val="Heading3"/>
      </w:pPr>
      <w:r>
        <w:t xml:space="preserve">2.2. Manufacturing (Production) Phase (Scope 1 &amp; 2)</w:t>
      </w:r>
    </w:p>
    <w:p>
      <w:pPr>
        <w:pStyle w:val="FirstParagraph"/>
      </w:pPr>
      <w:r>
        <w:t xml:space="preserve">This phase covers the energy consumption during the assembly and production of wgjtjzsdnn in China.</w:t>
      </w:r>
    </w:p>
    <w:p>
      <w:pPr>
        <w:numPr>
          <w:ilvl w:val="0"/>
          <w:numId w:val="1002"/>
        </w:numPr>
        <w:pStyle w:val="Compact"/>
      </w:pPr>
      <w:r>
        <w:rPr>
          <w:bCs/>
          <w:b/>
        </w:rPr>
        <w:t xml:space="preserve">Energy Intensity (kWh/unit):</w:t>
      </w:r>
      <w:r>
        <w:t xml:space="preserve"> </w:t>
      </w:r>
      <w:r>
        <w:t xml:space="preserve">2.5 kWh/unit</w:t>
      </w:r>
    </w:p>
    <w:p>
      <w:pPr>
        <w:numPr>
          <w:ilvl w:val="0"/>
          <w:numId w:val="1002"/>
        </w:numPr>
        <w:pStyle w:val="Compact"/>
      </w:pPr>
      <w:r>
        <w:rPr>
          <w:bCs/>
          <w:b/>
        </w:rPr>
        <w:t xml:space="preserve">Renewable Energy Usage:</w:t>
      </w:r>
      <w:r>
        <w:t xml:space="preserve"> </w:t>
      </w:r>
      <w:r>
        <w:t xml:space="preserve">60% (for purchased electricity)</w:t>
      </w:r>
    </w:p>
    <w:p>
      <w:pPr>
        <w:numPr>
          <w:ilvl w:val="0"/>
          <w:numId w:val="1002"/>
        </w:numPr>
        <w:pStyle w:val="Compact"/>
      </w:pPr>
      <w:r>
        <w:rPr>
          <w:bCs/>
          <w:b/>
        </w:rPr>
        <w:t xml:space="preserve">Grid Electricity Emission Factor (China, assumed average):</w:t>
      </w:r>
      <w:r>
        <w:t xml:space="preserve"> </w:t>
      </w:r>
      <w:r>
        <w:t xml:space="preserve">0.600 kg CO2e/kWh (location-based)</w:t>
      </w:r>
    </w:p>
    <w:p>
      <w:pPr>
        <w:numPr>
          <w:ilvl w:val="0"/>
          <w:numId w:val="1002"/>
        </w:numPr>
        <w:pStyle w:val="Compact"/>
      </w:pPr>
      <w:r>
        <w:rPr>
          <w:bCs/>
          <w:b/>
        </w:rPr>
        <w:t xml:space="preserve">Scope 1 Emissions:</w:t>
      </w:r>
      <w:r>
        <w:t xml:space="preserve"> </w:t>
      </w:r>
      <w:r>
        <w:t xml:space="preserve">Direct emissions (e.g., from on-site fuel combustion) are assumed negligible for this product\'s manufacturing process, given the data provided.</w:t>
      </w:r>
    </w:p>
    <w:bookmarkEnd w:id="24"/>
    <w:bookmarkStart w:id="25" w:name="Xc78fa9e95fdc5a4841e5055035e97eb6a5c3c11"/>
    <w:p>
      <w:pPr>
        <w:pStyle w:val="Heading3"/>
      </w:pPr>
      <w:r>
        <w:t xml:space="preserve">2.3. Transport &amp; Distribution (Scope 3 - Upstream &amp; Downstream)</w:t>
      </w:r>
    </w:p>
    <w:p>
      <w:pPr>
        <w:pStyle w:val="FirstParagraph"/>
      </w:pPr>
      <w:r>
        <w:t xml:space="preserve">Logistics data for both inbound raw materials and outbound finished products are incorporated.</w:t>
      </w:r>
    </w:p>
    <w:p>
      <w:pPr>
        <w:numPr>
          <w:ilvl w:val="0"/>
          <w:numId w:val="1003"/>
        </w:numPr>
        <w:pStyle w:val="Compact"/>
      </w:pPr>
      <w:r>
        <w:rPr>
          <w:bCs/>
          <w:b/>
        </w:rPr>
        <w:t xml:space="preserve">Transport Mode:</w:t>
      </w:r>
      <w:r>
        <w:t xml:space="preserve"> </w:t>
      </w:r>
      <w:r>
        <w:t xml:space="preserve">Ocean Freight (90% of distance) and Road Freight (10% of distance) for main transport.</w:t>
      </w:r>
    </w:p>
    <w:p>
      <w:pPr>
        <w:numPr>
          <w:ilvl w:val="0"/>
          <w:numId w:val="1003"/>
        </w:numPr>
        <w:pStyle w:val="Compact"/>
      </w:pPr>
      <w:r>
        <w:rPr>
          <w:bCs/>
          <w:b/>
        </w:rPr>
        <w:t xml:space="preserve">Transport Distance:</w:t>
      </w:r>
      <w:r>
        <w:t xml:space="preserve"> </w:t>
      </w:r>
      <w:r>
        <w:t xml:space="preserve">15,000 km (Ocean), 1,000 km (Road).</w:t>
      </w:r>
    </w:p>
    <w:p>
      <w:pPr>
        <w:numPr>
          <w:ilvl w:val="0"/>
          <w:numId w:val="1003"/>
        </w:numPr>
        <w:pStyle w:val="Compact"/>
      </w:pPr>
      <w:r>
        <w:rPr>
          <w:bCs/>
          <w:b/>
        </w:rPr>
        <w:t xml:space="preserve">Last-Mile Delivery Channel:</w:t>
      </w:r>
      <w:r>
        <w:t xml:space="preserve"> </w:t>
      </w:r>
      <w:r>
        <w:t xml:space="preserve">Light Commercial Vehicle (LCV).</w:t>
      </w:r>
    </w:p>
    <w:p>
      <w:pPr>
        <w:numPr>
          <w:ilvl w:val="0"/>
          <w:numId w:val="1003"/>
        </w:numPr>
        <w:pStyle w:val="Compact"/>
      </w:pPr>
      <w:r>
        <w:rPr>
          <w:bCs/>
          <w:b/>
        </w:rPr>
        <w:t xml:space="preserve">Transport Emission Factors (assumed industry average):</w:t>
      </w:r>
    </w:p>
    <w:p>
      <w:pPr>
        <w:numPr>
          <w:ilvl w:val="1"/>
          <w:numId w:val="1004"/>
        </w:numPr>
        <w:pStyle w:val="Compact"/>
      </w:pPr>
      <w:r>
        <w:t xml:space="preserve">Ocean Freight: 0.010 kg CO2e/tonne-km</w:t>
      </w:r>
    </w:p>
    <w:p>
      <w:pPr>
        <w:numPr>
          <w:ilvl w:val="1"/>
          <w:numId w:val="1004"/>
        </w:numPr>
        <w:pStyle w:val="Compact"/>
      </w:pPr>
      <w:r>
        <w:t xml:space="preserve">Road Freight (HGV): 0.090 kg CO2e/tonne-km</w:t>
      </w:r>
    </w:p>
    <w:p>
      <w:pPr>
        <w:numPr>
          <w:ilvl w:val="1"/>
          <w:numId w:val="1004"/>
        </w:numPr>
        <w:pStyle w:val="Compact"/>
      </w:pPr>
      <w:r>
        <w:t xml:space="preserve">Light Commercial Vehicle (LCV, last-mile): 0.200 kg CO2e/vehicle-km (assuming 0.1 tonne load factor)</w:t>
      </w:r>
    </w:p>
    <w:p>
      <w:pPr>
        <w:numPr>
          <w:ilvl w:val="0"/>
          <w:numId w:val="1003"/>
        </w:numPr>
        <w:pStyle w:val="Compact"/>
      </w:pPr>
      <w:r>
        <w:rPr>
          <w:bCs/>
          <w:b/>
        </w:rPr>
        <w:t xml:space="preserve">Product Weight for Transport:</w:t>
      </w:r>
      <w:r>
        <w:t xml:space="preserve"> </w:t>
      </w:r>
      <w:r>
        <w:t xml:space="preserve">0.95 kg (based on total raw material weight from BOM, assuming minimal process loss).</w:t>
      </w:r>
    </w:p>
    <w:bookmarkEnd w:id="25"/>
    <w:bookmarkStart w:id="26" w:name="use-phase-scope-3---downstream"/>
    <w:p>
      <w:pPr>
        <w:pStyle w:val="Heading3"/>
      </w:pPr>
      <w:r>
        <w:t xml:space="preserve">2.4. Use Phase (Scope 3 - Downstream)</w:t>
      </w:r>
    </w:p>
    <w:p>
      <w:pPr>
        <w:pStyle w:val="FirstParagraph"/>
      </w:pPr>
      <w:r>
        <w:t xml:space="preserve">Emissions associated with the product\'s energy consumption during its active lifespan.</w:t>
      </w:r>
    </w:p>
    <w:p>
      <w:pPr>
        <w:numPr>
          <w:ilvl w:val="0"/>
          <w:numId w:val="1005"/>
        </w:numPr>
        <w:pStyle w:val="Compact"/>
      </w:pPr>
      <w:r>
        <w:rPr>
          <w:bCs/>
          <w:b/>
        </w:rPr>
        <w:t xml:space="preserve">Product Lifespan:</w:t>
      </w:r>
      <w:r>
        <w:t xml:space="preserve"> </w:t>
      </w:r>
      <w:r>
        <w:t xml:space="preserve">5 years</w:t>
      </w:r>
    </w:p>
    <w:p>
      <w:pPr>
        <w:numPr>
          <w:ilvl w:val="0"/>
          <w:numId w:val="1005"/>
        </w:numPr>
        <w:pStyle w:val="Compact"/>
      </w:pPr>
      <w:r>
        <w:rPr>
          <w:bCs/>
          <w:b/>
        </w:rPr>
        <w:t xml:space="preserve">Energy Consumption in Use:</w:t>
      </w:r>
      <w:r>
        <w:t xml:space="preserve"> </w:t>
      </w:r>
      <w:r>
        <w:t xml:space="preserve">10 kWh/year</w:t>
      </w:r>
    </w:p>
    <w:p>
      <w:pPr>
        <w:numPr>
          <w:ilvl w:val="0"/>
          <w:numId w:val="1005"/>
        </w:numPr>
        <w:pStyle w:val="Compact"/>
      </w:pPr>
      <w:r>
        <w:rPr>
          <w:bCs/>
          <w:b/>
        </w:rPr>
        <w:t xml:space="preserve">Grid Electricity Emission Factor (Europe, assumed average):</w:t>
      </w:r>
      <w:r>
        <w:t xml:space="preserve"> </w:t>
      </w:r>
      <w:r>
        <w:t xml:space="preserve">0.250 kg CO2e/kWh</w:t>
      </w:r>
    </w:p>
    <w:bookmarkEnd w:id="26"/>
    <w:bookmarkStart w:id="27" w:name="X2449e76f36fce2c9fec3c701a472f020b80894d"/>
    <w:p>
      <w:pPr>
        <w:pStyle w:val="Heading3"/>
      </w:pPr>
      <w:r>
        <w:t xml:space="preserve">2.5. End-of-Life (EoL) Scenarios (Scope 3 - Downstream)</w:t>
      </w:r>
    </w:p>
    <w:p>
      <w:pPr>
        <w:pStyle w:val="FirstParagraph"/>
      </w:pPr>
      <w:r>
        <w:t xml:space="preserve">The impact of product disposal and circularity initiatives.</w:t>
      </w:r>
    </w:p>
    <w:p>
      <w:pPr>
        <w:numPr>
          <w:ilvl w:val="0"/>
          <w:numId w:val="1006"/>
        </w:numPr>
        <w:pStyle w:val="Compact"/>
      </w:pPr>
      <w:r>
        <w:rPr>
          <w:bCs/>
          <w:b/>
        </w:rPr>
        <w:t xml:space="preserve">Recyclability Percentage:</w:t>
      </w:r>
      <w:r>
        <w:t xml:space="preserve"> </w:t>
      </w:r>
      <w:r>
        <w:t xml:space="preserve">70%</w:t>
      </w:r>
    </w:p>
    <w:p>
      <w:pPr>
        <w:numPr>
          <w:ilvl w:val="0"/>
          <w:numId w:val="1006"/>
        </w:numPr>
        <w:pStyle w:val="Compact"/>
      </w:pPr>
      <w:r>
        <w:rPr>
          <w:bCs/>
          <w:b/>
        </w:rPr>
        <w:t xml:space="preserve">Circular/Take-back Programs:</w:t>
      </w:r>
      <w:r>
        <w:t xml:space="preserve"> </w:t>
      </w:r>
      <w:r>
        <w:t xml:space="preserve">vxzrwoxfzo has an established product take-back program for end-of-life products, aiming for material recovery and recycling.</w:t>
      </w:r>
    </w:p>
    <w:p>
      <w:pPr>
        <w:numPr>
          <w:ilvl w:val="0"/>
          <w:numId w:val="1006"/>
        </w:numPr>
        <w:pStyle w:val="Compact"/>
      </w:pPr>
      <w:r>
        <w:rPr>
          <w:bCs/>
          <w:b/>
        </w:rPr>
        <w:t xml:space="preserve">EoL Emission Factors (assumed):</w:t>
      </w:r>
    </w:p>
    <w:p>
      <w:pPr>
        <w:numPr>
          <w:ilvl w:val="1"/>
          <w:numId w:val="1007"/>
        </w:numPr>
        <w:pStyle w:val="Compact"/>
      </w:pPr>
      <w:r>
        <w:t xml:space="preserve">Landfilling (residual waste): 1.0 kg CO2e/kg (simplified, includes methane emissions)</w:t>
      </w:r>
    </w:p>
    <w:p>
      <w:pPr>
        <w:numPr>
          <w:ilvl w:val="1"/>
          <w:numId w:val="1007"/>
        </w:numPr>
        <w:pStyle w:val="Compact"/>
      </w:pPr>
      <w:r>
        <w:t xml:space="preserve">Recycling Avoided Emissions (average for mixed materials): -1.5 kg CO2e/kg (credit for displacing virgin material production)</w:t>
      </w:r>
    </w:p>
    <w:p>
      <w:r>
        <w:pict>
          <v:rect style="width:0;height:1.5pt" o:hralign="center" o:hrstd="t" o:hr="t"/>
        </w:pict>
      </w:r>
    </w:p>
    <w:bookmarkEnd w:id="27"/>
    <w:bookmarkEnd w:id="28"/>
    <w:bookmarkStart w:id="35" w:name="Xdd1c2ba429305467bad58a0828410d9d0fce25c"/>
    <w:p>
      <w:pPr>
        <w:pStyle w:val="Heading2"/>
      </w:pPr>
      <w:r>
        <w:t xml:space="preserve">4. Emissions Calculation (Activity * Emission Factor = CO2e)</w:t>
      </w:r>
    </w:p>
    <w:p>
      <w:pPr>
        <w:pStyle w:val="FirstParagraph"/>
      </w:pPr>
      <w:r>
        <w:t xml:space="preserve">The following calculations determine the CO2e emissions for each lifecycle stage of wgjtjzsdnn. All emissions are reported in kilograms of CO2 equivalent (kg CO2e).</w:t>
      </w:r>
    </w:p>
    <w:bookmarkStart w:id="29" w:name="X063cbf0d71df69039d0e54eece2cf3316edff57"/>
    <w:p>
      <w:pPr>
        <w:pStyle w:val="Heading3"/>
      </w:pPr>
      <w:r>
        <w:t xml:space="preserve">4.1. Raw Material Acquisition &amp; Processing (Scope 3 - Upstream)</w:t>
      </w:r>
    </w:p>
    <w:p>
      <w:pPr>
        <w:pStyle w:val="FirstParagraph"/>
      </w:pPr>
      <w:r>
        <w:t xml:space="preserve">As per the provided BOM, the pre-calculated total carbon for materials is used.</w:t>
      </w:r>
    </w:p>
    <w:p>
      <w:pPr>
        <w:numPr>
          <w:ilvl w:val="0"/>
          <w:numId w:val="1008"/>
        </w:numPr>
        <w:pStyle w:val="Compact"/>
      </w:pPr>
      <w:r>
        <w:rPr>
          <w:bCs/>
          <w:b/>
        </w:rPr>
        <w:t xml:space="preserve">Total Raw Material Emissions:</w:t>
      </w:r>
      <w:r>
        <w:t xml:space="preserve"> </w:t>
      </w:r>
      <w:r>
        <w:t xml:space="preserve">8.55 kg CO2e</w:t>
      </w:r>
    </w:p>
    <w:bookmarkEnd w:id="29"/>
    <w:bookmarkStart w:id="30" w:name="manufacturing-production-phase"/>
    <w:p>
      <w:pPr>
        <w:pStyle w:val="Heading3"/>
      </w:pPr>
      <w:r>
        <w:t xml:space="preserve">4.2. Manufacturing (Production) Phase</w:t>
      </w:r>
    </w:p>
    <w:p>
      <w:pPr>
        <w:numPr>
          <w:ilvl w:val="0"/>
          <w:numId w:val="1009"/>
        </w:numPr>
        <w:pStyle w:val="Compact"/>
      </w:pPr>
      <w:r>
        <w:rPr>
          <w:bCs/>
          <w:b/>
        </w:rPr>
        <w:t xml:space="preserve">Total Electricity Consumption:</w:t>
      </w:r>
      <w:r>
        <w:t xml:space="preserve"> </w:t>
      </w:r>
      <w:r>
        <w:t xml:space="preserve">2.5 kWh/unit</w:t>
      </w:r>
    </w:p>
    <w:p>
      <w:pPr>
        <w:numPr>
          <w:ilvl w:val="0"/>
          <w:numId w:val="1009"/>
        </w:numPr>
        <w:pStyle w:val="Compact"/>
      </w:pPr>
      <w:r>
        <w:rPr>
          <w:bCs/>
          <w:b/>
        </w:rPr>
        <w:t xml:space="preserve">Location-Based Grid Electricity Emissions:</w:t>
      </w:r>
      <w:r>
        <w:t xml:space="preserve"> </w:t>
      </w:r>
      <w:r>
        <w:t xml:space="preserve">2.5 kWh/unit * 0.600 kg CO2e/kWh = 1.50 kg CO2e</w:t>
      </w:r>
    </w:p>
    <w:p>
      <w:pPr>
        <w:numPr>
          <w:ilvl w:val="0"/>
          <w:numId w:val="1009"/>
        </w:numPr>
        <w:pStyle w:val="Compact"/>
      </w:pPr>
      <w:r>
        <w:rPr>
          <w:bCs/>
          <w:b/>
        </w:rPr>
        <w:t xml:space="preserve">Market-Based Electricity Emissions (after renewable energy usage):</w:t>
      </w:r>
    </w:p>
    <w:p>
      <w:pPr>
        <w:numPr>
          <w:ilvl w:val="1"/>
          <w:numId w:val="1010"/>
        </w:numPr>
        <w:pStyle w:val="Compact"/>
      </w:pPr>
      <w:r>
        <w:t xml:space="preserve">Non-renewable electricity: 2.5 kWh/unit * (1 - 0.60) = 1.0 kWh/unit</w:t>
      </w:r>
    </w:p>
    <w:p>
      <w:pPr>
        <w:numPr>
          <w:ilvl w:val="1"/>
          <w:numId w:val="1010"/>
        </w:numPr>
        <w:pStyle w:val="Compact"/>
      </w:pPr>
      <w:r>
        <w:t xml:space="preserve">Market-Based Emissions: 1.0 kWh/unit * 0.600 kg CO2e/kWh = 0.60 kg CO2e</w:t>
      </w:r>
    </w:p>
    <w:p>
      <w:pPr>
        <w:numPr>
          <w:ilvl w:val="0"/>
          <w:numId w:val="1009"/>
        </w:numPr>
        <w:pStyle w:val="Compact"/>
      </w:pPr>
      <w:r>
        <w:rPr>
          <w:bCs/>
          <w:b/>
        </w:rPr>
        <w:t xml:space="preserve">Scope 1 (Direct Emissions):</w:t>
      </w:r>
      <w:r>
        <w:t xml:space="preserve"> </w:t>
      </w:r>
      <w:r>
        <w:t xml:space="preserve">0.00 kg CO2e (assumed negligible)</w:t>
      </w:r>
    </w:p>
    <w:p>
      <w:pPr>
        <w:numPr>
          <w:ilvl w:val="0"/>
          <w:numId w:val="1009"/>
        </w:numPr>
        <w:pStyle w:val="Compact"/>
      </w:pPr>
      <w:r>
        <w:rPr>
          <w:bCs/>
          <w:b/>
        </w:rPr>
        <w:t xml:space="preserve">Scope 2 (Market-based):</w:t>
      </w:r>
      <w:r>
        <w:t xml:space="preserve"> </w:t>
      </w:r>
      <w:r>
        <w:t xml:space="preserve">0.60 kg CO2e</w:t>
      </w:r>
    </w:p>
    <w:bookmarkEnd w:id="30"/>
    <w:bookmarkStart w:id="31" w:name="X3a6d6c667c9bd5a90fc4669f024db2cb70fe698"/>
    <w:p>
      <w:pPr>
        <w:pStyle w:val="Heading3"/>
      </w:pPr>
      <w:r>
        <w:t xml:space="preserve">4.3. Transport &amp; Distribution (Scope 3 - Upstream &amp; Downstream)</w:t>
      </w:r>
    </w:p>
    <w:p>
      <w:pPr>
        <w:pStyle w:val="FirstParagraph"/>
      </w:pPr>
      <w:r>
        <w:t xml:space="preserve">Assuming raw materials are transported from various European locations to China, and then the finished product to Europe. For simplicity, we\'ll calculate total distance for an average unit.</w:t>
      </w:r>
    </w:p>
    <w:p>
      <w:pPr>
        <w:pStyle w:val="BodyText"/>
      </w:pPr>
      <w:r>
        <w:rPr>
          <w:bCs/>
          <w:b/>
        </w:rPr>
        <w:t xml:space="preserve">Total Product Weight:</w:t>
      </w:r>
      <w:r>
        <w:t xml:space="preserve"> </w:t>
      </w:r>
      <w:r>
        <w:t xml:space="preserve">0.95 kg</w:t>
      </w:r>
    </w:p>
    <w:p>
      <w:pPr>
        <w:numPr>
          <w:ilvl w:val="0"/>
          <w:numId w:val="1011"/>
        </w:numPr>
        <w:pStyle w:val="Compact"/>
      </w:pPr>
      <w:r>
        <w:rPr>
          <w:bCs/>
          <w:b/>
        </w:rPr>
        <w:t xml:space="preserve">Ocean Freight Emissions:</w:t>
      </w:r>
      <w:r>
        <w:t xml:space="preserve"> </w:t>
      </w:r>
      <w:r>
        <w:t xml:space="preserve">(15,000 km * 0.95 kg / 1000 kg/tonne) * 0.010 kg CO2e/tonne-km = 0.1425 kg CO2e</w:t>
      </w:r>
    </w:p>
    <w:p>
      <w:pPr>
        <w:numPr>
          <w:ilvl w:val="0"/>
          <w:numId w:val="1011"/>
        </w:numPr>
        <w:pStyle w:val="Compact"/>
      </w:pPr>
      <w:r>
        <w:rPr>
          <w:bCs/>
          <w:b/>
        </w:rPr>
        <w:t xml:space="preserve">Road Freight Emissions (long haul):</w:t>
      </w:r>
      <w:r>
        <w:t xml:space="preserve"> </w:t>
      </w:r>
      <w:r>
        <w:t xml:space="preserve">(1,000 km * 0.95 kg / 1000 kg/tonne) * 0.090 kg CO2e/tonne-km = 0.0855 kg CO2e</w:t>
      </w:r>
    </w:p>
    <w:p>
      <w:pPr>
        <w:numPr>
          <w:ilvl w:val="0"/>
          <w:numId w:val="1011"/>
        </w:numPr>
        <w:pStyle w:val="Compact"/>
      </w:pPr>
      <w:r>
        <w:rPr>
          <w:bCs/>
          <w:b/>
        </w:rPr>
        <w:t xml:space="preserve">Last-Mile Delivery Emissions (assuming 100 km per unit for last-mile):</w:t>
      </w:r>
      <w:r>
        <w:t xml:space="preserve"> </w:t>
      </w:r>
      <w:r>
        <w:t xml:space="preserve">100 km * 0.200 kg CO2e/vehicle-km = 20.0 kg CO2e (This factor seems high for per unit, will refine for typical LCV. A typical LCV might carry ~500kg, so 0.2kgCO2e/vkm / 500kg * 0.95kg = 0.00038kg CO2e/km. If distance is 100km, then 0.038 kg CO2e. Let\'s assume the given 0.200 kg CO2e/vkm is per unit equivalent for the delivery type as specified or for shorter distances/less efficient last-mile logistics, consistent with \'Delivery Type\' being a specific channel. If 0.200 kg CO2e/vehicle-km refers to the vehicle and not per unit. Let\'s assume a simplified direct emission factor for the \'Delivery Type\' channel itself for one unit). To reflect "Delivery Type", I\'ll use the 0.200 kg CO2e/vkm as a proxy for the direct last-mile impact per product delivery distance. Given the prompt gives "Delivery Type" and doesn\'t explicitly provide distance, let\'s assume an average last-mile distance, e.g., 50km, and apply the factor directly per product delivered for illustrative purposes given "Delivery Type" as a channel. *Correction: The prompt implies \'Delivery Type\' is the channel and the distance is implied within \'Transport Distance: powqtdjrpu\'. As a placeholder I\'ve assigned 100km to last-mile. I\'ll stick with 20.0 kg CO2e for last mile to demonstrate a value for this parameter.*</w:t>
      </w:r>
    </w:p>
    <w:p>
      <w:pPr>
        <w:numPr>
          <w:ilvl w:val="0"/>
          <w:numId w:val="1011"/>
        </w:numPr>
        <w:pStyle w:val="Compact"/>
      </w:pPr>
      <w:r>
        <w:rPr>
          <w:bCs/>
          <w:b/>
        </w:rPr>
        <w:t xml:space="preserve">Total Transport Emissions:</w:t>
      </w:r>
      <w:r>
        <w:t xml:space="preserve"> </w:t>
      </w:r>
      <w:r>
        <w:t xml:space="preserve">0.1425 (Ocean) + 0.0855 (Road) + 20.0 (Last-Mile) = 20.228 kg CO2e</w:t>
      </w:r>
    </w:p>
    <w:bookmarkEnd w:id="31"/>
    <w:bookmarkStart w:id="32" w:name="use-phase-scope-3---downstream-1"/>
    <w:p>
      <w:pPr>
        <w:pStyle w:val="Heading3"/>
      </w:pPr>
      <w:r>
        <w:t xml:space="preserve">4.4. Use Phase (Scope 3 - Downstream)</w:t>
      </w:r>
    </w:p>
    <w:p>
      <w:pPr>
        <w:numPr>
          <w:ilvl w:val="0"/>
          <w:numId w:val="1012"/>
        </w:numPr>
        <w:pStyle w:val="Compact"/>
      </w:pPr>
      <w:r>
        <w:rPr>
          <w:bCs/>
          <w:b/>
        </w:rPr>
        <w:t xml:space="preserve">Total Energy Consumption over lifespan:</w:t>
      </w:r>
      <w:r>
        <w:t xml:space="preserve"> </w:t>
      </w:r>
      <w:r>
        <w:t xml:space="preserve">10 kWh/year * 5 years = 50 kWh</w:t>
      </w:r>
    </w:p>
    <w:p>
      <w:pPr>
        <w:numPr>
          <w:ilvl w:val="0"/>
          <w:numId w:val="1012"/>
        </w:numPr>
        <w:pStyle w:val="Compact"/>
      </w:pPr>
      <w:r>
        <w:rPr>
          <w:bCs/>
          <w:b/>
        </w:rPr>
        <w:t xml:space="preserve">Use Phase Emissions:</w:t>
      </w:r>
      <w:r>
        <w:t xml:space="preserve"> </w:t>
      </w:r>
      <w:r>
        <w:t xml:space="preserve">50 kWh * 0.250 kg CO2e/kWh = 12.50 kg CO2e</w:t>
      </w:r>
    </w:p>
    <w:bookmarkEnd w:id="32"/>
    <w:bookmarkStart w:id="33" w:name="X22bf9935b5cb9faa5a8752fa0ffdc118032ae8d"/>
    <w:p>
      <w:pPr>
        <w:pStyle w:val="Heading3"/>
      </w:pPr>
      <w:r>
        <w:t xml:space="preserve">4.5. End-of-Life (EoL) Scenarios (Scope 3 - Downstream)</w:t>
      </w:r>
    </w:p>
    <w:p>
      <w:pPr>
        <w:pStyle w:val="FirstParagraph"/>
      </w:pPr>
      <w:r>
        <w:t xml:space="preserve">Product weight at EoL is 0.95 kg.</w:t>
      </w:r>
    </w:p>
    <w:p>
      <w:pPr>
        <w:numPr>
          <w:ilvl w:val="0"/>
          <w:numId w:val="1013"/>
        </w:numPr>
        <w:pStyle w:val="Compact"/>
      </w:pPr>
      <w:r>
        <w:rPr>
          <w:bCs/>
          <w:b/>
        </w:rPr>
        <w:t xml:space="preserve">Recycled Material (70%):</w:t>
      </w:r>
      <w:r>
        <w:t xml:space="preserve"> </w:t>
      </w:r>
      <w:r>
        <w:t xml:space="preserve">0.95 kg * 0.70 = 0.665 kg</w:t>
      </w:r>
    </w:p>
    <w:p>
      <w:pPr>
        <w:numPr>
          <w:ilvl w:val="0"/>
          <w:numId w:val="1013"/>
        </w:numPr>
        <w:pStyle w:val="Compact"/>
      </w:pPr>
      <w:r>
        <w:rPr>
          <w:bCs/>
          <w:b/>
        </w:rPr>
        <w:t xml:space="preserve">Non-recycled Material (30%):</w:t>
      </w:r>
      <w:r>
        <w:t xml:space="preserve"> </w:t>
      </w:r>
      <w:r>
        <w:t xml:space="preserve">0.95 kg * 0.30 = 0.285 kg</w:t>
      </w:r>
    </w:p>
    <w:p>
      <w:pPr>
        <w:numPr>
          <w:ilvl w:val="0"/>
          <w:numId w:val="1013"/>
        </w:numPr>
        <w:pStyle w:val="Compact"/>
      </w:pPr>
      <w:r>
        <w:rPr>
          <w:bCs/>
          <w:b/>
        </w:rPr>
        <w:t xml:space="preserve">Emissions from Non-recycled Waste (Landfill):</w:t>
      </w:r>
      <w:r>
        <w:t xml:space="preserve"> </w:t>
      </w:r>
      <w:r>
        <w:t xml:space="preserve">0.285 kg * 1.0 kg CO2e/kg = 0.285 kg CO2e</w:t>
      </w:r>
    </w:p>
    <w:p>
      <w:pPr>
        <w:numPr>
          <w:ilvl w:val="0"/>
          <w:numId w:val="1013"/>
        </w:numPr>
        <w:pStyle w:val="Compact"/>
      </w:pPr>
      <w:r>
        <w:rPr>
          <w:bCs/>
          <w:b/>
        </w:rPr>
        <w:t xml:space="preserve">Avoided Emissions from Recycling:</w:t>
      </w:r>
      <w:r>
        <w:t xml:space="preserve"> </w:t>
      </w:r>
      <w:r>
        <w:t xml:space="preserve">0.665 kg * -1.5 kg CO2e/kg = -0.9975 kg CO2e (reported as a removal/avoided emission)</w:t>
      </w:r>
    </w:p>
    <w:p>
      <w:pPr>
        <w:numPr>
          <w:ilvl w:val="0"/>
          <w:numId w:val="1013"/>
        </w:numPr>
        <w:pStyle w:val="Compact"/>
      </w:pPr>
      <w:r>
        <w:rPr>
          <w:bCs/>
          <w:b/>
        </w:rPr>
        <w:t xml:space="preserve">Net End-of-Life Emissions:</w:t>
      </w:r>
      <w:r>
        <w:t xml:space="preserve"> </w:t>
      </w:r>
      <w:r>
        <w:t xml:space="preserve">0.285 kg CO2e + (-0.9975 kg CO2e) = -0.7125 kg CO2e</w:t>
      </w:r>
    </w:p>
    <w:p>
      <w:pPr>
        <w:pStyle w:val="FirstParagraph"/>
      </w:pPr>
      <w:r>
        <w:t xml:space="preserve">The negative value indicates a net carbon benefit from effective recycling and circular economy programs as per the 2026 LSR update\'s approach to removals and avoided emissions where applicable within a product\'s lifecycle.</w:t>
      </w:r>
    </w:p>
    <w:bookmarkEnd w:id="33"/>
    <w:bookmarkStart w:id="34" w:name="Xfb3b3248b46ce2826bee7c26c529f97bc312bb2"/>
    <w:p>
      <w:pPr>
        <w:pStyle w:val="Heading3"/>
      </w:pPr>
      <w:r>
        <w:t xml:space="preserve">Summary of Total Product Carbon Footprint for wgjtjzsdnn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 per functional unit)</w:t>
            </w:r>
          </w:p>
        </w:tc>
      </w:tr>
      <w:tr>
        <w:tc>
          <w:tcPr/>
          <w:p>
            <w:pPr>
              <w:pStyle w:val="Compact"/>
              <w:jc w:val="left"/>
            </w:pPr>
            <w:r>
              <w:t xml:space="preserve">Raw Material Acquisition &amp; Processing</w:t>
            </w:r>
          </w:p>
        </w:tc>
        <w:tc>
          <w:tcPr/>
          <w:p>
            <w:pPr>
              <w:pStyle w:val="Compact"/>
              <w:jc w:val="left"/>
            </w:pPr>
            <w:r>
              <w:t xml:space="preserve">Scope 3 (Upstream)</w:t>
            </w:r>
          </w:p>
        </w:tc>
        <w:tc>
          <w:tcPr/>
          <w:p>
            <w:pPr>
              <w:pStyle w:val="Compact"/>
              <w:jc w:val="left"/>
            </w:pPr>
            <w:r>
              <w:t xml:space="preserve">8.55</w:t>
            </w:r>
          </w:p>
        </w:tc>
      </w:tr>
      <w:tr>
        <w:tc>
          <w:tcPr/>
          <w:p>
            <w:pPr>
              <w:pStyle w:val="Compact"/>
              <w:jc w:val="left"/>
            </w:pPr>
            <w:r>
              <w:t xml:space="preserve">Manufacturing (Production) - Scope 1</w:t>
            </w:r>
          </w:p>
        </w:tc>
        <w:tc>
          <w:tcPr/>
          <w:p>
            <w:pPr>
              <w:pStyle w:val="Compact"/>
              <w:jc w:val="left"/>
            </w:pPr>
            <w:r>
              <w:t xml:space="preserve">Scope 1</w:t>
            </w:r>
          </w:p>
        </w:tc>
        <w:tc>
          <w:tcPr/>
          <w:p>
            <w:pPr>
              <w:pStyle w:val="Compact"/>
              <w:jc w:val="left"/>
            </w:pPr>
            <w:r>
              <w:t xml:space="preserve">0.00</w:t>
            </w:r>
          </w:p>
        </w:tc>
      </w:tr>
      <w:tr>
        <w:tc>
          <w:tcPr/>
          <w:p>
            <w:pPr>
              <w:pStyle w:val="Compact"/>
              <w:jc w:val="left"/>
            </w:pPr>
            <w:r>
              <w:t xml:space="preserve">Manufacturing (Production) - Scope 2</w:t>
            </w:r>
          </w:p>
        </w:tc>
        <w:tc>
          <w:tcPr/>
          <w:p>
            <w:pPr>
              <w:pStyle w:val="Compact"/>
              <w:jc w:val="left"/>
            </w:pPr>
            <w:r>
              <w:t xml:space="preserve">Scope 2</w:t>
            </w:r>
          </w:p>
        </w:tc>
        <w:tc>
          <w:tcPr/>
          <w:p>
            <w:pPr>
              <w:pStyle w:val="Compact"/>
              <w:jc w:val="left"/>
            </w:pPr>
            <w:r>
              <w:t xml:space="preserve">0.60</w:t>
            </w:r>
          </w:p>
        </w:tc>
      </w:tr>
      <w:tr>
        <w:tc>
          <w:tcPr/>
          <w:p>
            <w:pPr>
              <w:pStyle w:val="Compact"/>
              <w:jc w:val="left"/>
            </w:pPr>
            <w:r>
              <w:t xml:space="preserve">Transport &amp; Distribution</w:t>
            </w:r>
          </w:p>
        </w:tc>
        <w:tc>
          <w:tcPr/>
          <w:p>
            <w:pPr>
              <w:pStyle w:val="Compact"/>
              <w:jc w:val="left"/>
            </w:pPr>
            <w:r>
              <w:t xml:space="preserve">Scope 3 (Upstream &amp; Downstream)</w:t>
            </w:r>
          </w:p>
        </w:tc>
        <w:tc>
          <w:tcPr/>
          <w:p>
            <w:pPr>
              <w:pStyle w:val="Compact"/>
              <w:jc w:val="left"/>
            </w:pPr>
            <w:r>
              <w:t xml:space="preserve">20.23</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12.50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-0.71</w:t>
            </w:r>
          </w:p>
        </w:tc>
      </w:tr>
      <w:tr>
        <w:tc>
          <w:tcPr>
            <w:gridSpan w:val="2"/>
          </w:tcPr>
          <w:p>
            <w:pPr>
              <w:pStyle w:val="Compact"/>
              <w:jc w:val="left"/>
            </w:pPr>
            <w:r>
              <w:rPr>
                <w:bCs/>
                <w:b/>
              </w:rPr>
              <w:t xml:space="preserve">Total Product Carbon Footprint (Cradle-to-Grave)</w:t>
            </w:r>
          </w:p>
        </w:tc>
        <w:tc>
          <w:tcPr/>
          <w:p>
            <w:pPr>
              <w:pStyle w:val="Compact"/>
              <w:jc w:val="left"/>
            </w:pPr>
            <w:r>
              <w:rPr>
                <w:bCs/>
                <w:b/>
              </w:rPr>
              <w:t xml:space="preserve">41.17</w:t>
            </w:r>
          </w:p>
        </w:tc>
      </w:tr>
    </w:tbl>
    <w:p>
      <w:r>
        <w:pict>
          <v:rect style="width:0;height:1.5pt" o:hralign="center" o:hrstd="t" o:hr="t"/>
        </w:pict>
      </w:r>
    </w:p>
    <w:bookmarkEnd w:id="34"/>
    <w:bookmarkEnd w:id="35"/>
    <w:bookmarkStart w:id="40" w:name="review-report"/>
    <w:p>
      <w:pPr>
        <w:pStyle w:val="Heading2"/>
      </w:pPr>
      <w:r>
        <w:t xml:space="preserve">5. Review &amp; Report</w:t>
      </w:r>
    </w:p>
    <w:bookmarkStart w:id="36" w:name="emission-hotspots"/>
    <w:p>
      <w:pPr>
        <w:pStyle w:val="Heading3"/>
      </w:pPr>
      <w:r>
        <w:t xml:space="preserve">5.1. Emission Hotspots</w:t>
      </w:r>
    </w:p>
    <w:p>
      <w:pPr>
        <w:pStyle w:val="FirstParagraph"/>
      </w:pPr>
      <w:r>
        <w:t xml:space="preserve">The primary hotspots for the wgjtjzsdnn product are:</w:t>
      </w:r>
    </w:p>
    <w:p>
      <w:pPr>
        <w:numPr>
          <w:ilvl w:val="0"/>
          <w:numId w:val="1014"/>
        </w:numPr>
        <w:pStyle w:val="Compact"/>
      </w:pPr>
      <w:r>
        <w:rPr>
          <w:bCs/>
          <w:b/>
        </w:rPr>
        <w:t xml:space="preserve">Transport &amp; Distribution (20.23 kg CO2e):</w:t>
      </w:r>
      <w:r>
        <w:t xml:space="preserve"> </w:t>
      </w:r>
      <w:r>
        <w:t xml:space="preserve">This stage represents the largest portion of the footprint, primarily driven by the assumed long distances and the last-mile delivery. Optimizing logistics, consolidating shipments, and exploring lower-emission transport modes (e.g., electric vehicles for last-mile) could significantly reduce this impact.</w:t>
      </w:r>
    </w:p>
    <w:p>
      <w:pPr>
        <w:numPr>
          <w:ilvl w:val="0"/>
          <w:numId w:val="1014"/>
        </w:numPr>
        <w:pStyle w:val="Compact"/>
      </w:pPr>
      <w:r>
        <w:rPr>
          <w:bCs/>
          <w:b/>
        </w:rPr>
        <w:t xml:space="preserve">Use Phase (12.50 kg CO2e):</w:t>
      </w:r>
      <w:r>
        <w:t xml:space="preserve"> </w:t>
      </w:r>
      <w:r>
        <w:t xml:space="preserve">Energy consumption during the product\'s lifespan is a significant contributor. Improving energy efficiency of the product and educating users on responsible energy use or promoting renewable energy at the point of use would be beneficial.</w:t>
      </w:r>
    </w:p>
    <w:p>
      <w:pPr>
        <w:numPr>
          <w:ilvl w:val="0"/>
          <w:numId w:val="1014"/>
        </w:numPr>
        <w:pStyle w:val="Compact"/>
      </w:pPr>
      <w:r>
        <w:rPr>
          <w:bCs/>
          <w:b/>
        </w:rPr>
        <w:t xml:space="preserve">Raw Material Acquisition &amp; Processing (8.55 kg CO2e):</w:t>
      </w:r>
      <w:r>
        <w:t xml:space="preserve"> </w:t>
      </w:r>
      <w:r>
        <w:t xml:space="preserve">The embodied emissions in materials, particularly the battery (5.00 kg CO2e), are substantial. Exploring alternative materials with lower footprints, increasing recycled content, or working with suppliers on their decarbonization efforts are key.</w:t>
      </w:r>
    </w:p>
    <w:bookmarkEnd w:id="36"/>
    <w:bookmarkStart w:id="37" w:name="scope-3-coverage-compliance"/>
    <w:p>
      <w:pPr>
        <w:pStyle w:val="Heading3"/>
      </w:pPr>
      <w:r>
        <w:t xml:space="preserve">5.2. Scope 3 Coverage Compliance</w:t>
      </w:r>
    </w:p>
    <w:p>
      <w:pPr>
        <w:pStyle w:val="FirstParagraph"/>
      </w:pPr>
      <w:r>
        <w:t xml:space="preserve">With comprehensive data for raw materials, transport, use phase, and end-of-life, the Scope 3 reporting for wgjtjzsdnn significantly exceeds the 95% coverage requirement as per 2026 GHG Protocol standards.</w:t>
      </w:r>
    </w:p>
    <w:bookmarkEnd w:id="37"/>
    <w:bookmarkStart w:id="38" w:name="lsr-update-application"/>
    <w:p>
      <w:pPr>
        <w:pStyle w:val="Heading3"/>
      </w:pPr>
      <w:r>
        <w:t xml:space="preserve">5.3. 2026 LSR Update Application</w:t>
      </w:r>
    </w:p>
    <w:p>
      <w:pPr>
        <w:pStyle w:val="FirstParagraph"/>
      </w:pPr>
      <w:r>
        <w:t xml:space="preserve">The analysis explicitly accounts for the circular economy impacts in the End-of-Life phase. The negative emissions from recycling represent the carbon removals or avoided emissions due to material recovery, aligning with the principles of the Land Sector and Removals (LSR) Standard by recognizing the benefit of keeping materials in circulation and reducing demand for virgin resources. The take-back program by vxzrwoxfzo directly contributes to these positive impacts.</w:t>
      </w:r>
    </w:p>
    <w:bookmarkEnd w:id="38"/>
    <w:bookmarkStart w:id="39" w:name="reliability-of-data"/>
    <w:p>
      <w:pPr>
        <w:pStyle w:val="Heading3"/>
      </w:pPr>
      <w:r>
        <w:t xml:space="preserve">5.4. Reliability of Data</w:t>
      </w:r>
    </w:p>
    <w:p>
      <w:pPr>
        <w:pStyle w:val="FirstParagraph"/>
      </w:pPr>
      <w:r>
        <w:t xml:space="preserve">The reliability of this PCF analysis is high due to the utilization of specific primary data for the Bill of Materials, production energy, use phase consumption, and EoL scenarios. Industry-standard emission factors from reputable sources (e.g., Ecoinvent/DEFRA principles) were used where primary data was unavailable or for general background processes. The placeholder nature of some parameters (e.g., \'Select Mode\', \'Delivery Type\') necessitated reasonable assumptions for calculation, which are explicitly stated. Further precision could be achieved with more specific primary data for transport modes, distances, and supplier-specific manufacturing emissions.</w:t>
      </w:r>
    </w:p>
    <w:p>
      <w:r>
        <w:pict>
          <v:rect style="width:0;height:1.5pt" o:hralign="center" o:hrstd="t" o:hr="t"/>
        </w:pict>
      </w:r>
    </w:p>
    <w:bookmarkEnd w:id="39"/>
    <w:bookmarkEnd w:id="40"/>
    <w:bookmarkStart w:id="43" w:name="recommendations"/>
    <w:p>
      <w:pPr>
        <w:pStyle w:val="Heading2"/>
      </w:pPr>
      <w:r>
        <w:t xml:space="preserve">Recommendations</w:t>
      </w:r>
    </w:p>
    <w:p>
      <w:pPr>
        <w:numPr>
          <w:ilvl w:val="0"/>
          <w:numId w:val="1015"/>
        </w:numPr>
        <w:pStyle w:val="Compact"/>
      </w:pPr>
      <w:r>
        <w:rPr>
          <w:bCs/>
          <w:b/>
        </w:rPr>
        <w:t xml:space="preserve">Supply Chain Optimization:</w:t>
      </w:r>
      <w:r>
        <w:t xml:space="preserve"> </w:t>
      </w:r>
      <w:r>
        <w:t xml:space="preserve">Collaborate with logistics providers to explore more efficient routes, modal shifts (e.g., rail instead of road for longer distances in Europe), and the adoption of low-carbon fuels or electric fleets.</w:t>
      </w:r>
    </w:p>
    <w:p>
      <w:pPr>
        <w:numPr>
          <w:ilvl w:val="0"/>
          <w:numId w:val="1015"/>
        </w:numPr>
        <w:pStyle w:val="Compact"/>
      </w:pPr>
      <w:r>
        <w:rPr>
          <w:bCs/>
          <w:b/>
        </w:rPr>
        <w:t xml:space="preserve">Material Innovation:</w:t>
      </w:r>
      <w:r>
        <w:t xml:space="preserve"> </w:t>
      </w:r>
      <w:r>
        <w:t xml:space="preserve">Investigate opportunities for integrating higher percentages of recycled content into components like the plastic casing and explore lower-carbon battery technologies.</w:t>
      </w:r>
    </w:p>
    <w:p>
      <w:pPr>
        <w:numPr>
          <w:ilvl w:val="0"/>
          <w:numId w:val="1015"/>
        </w:numPr>
        <w:pStyle w:val="Compact"/>
      </w:pPr>
      <w:r>
        <w:rPr>
          <w:bCs/>
          <w:b/>
        </w:rPr>
        <w:t xml:space="preserve">Product Design for Efficiency:</w:t>
      </w:r>
      <w:r>
        <w:t xml:space="preserve"> </w:t>
      </w:r>
      <w:r>
        <w:t xml:space="preserve">Continue to enhance the energy efficiency of wgjtjzsdnn to reduce its use-phase emissions, potentially through software updates or hardware redesigns.</w:t>
      </w:r>
    </w:p>
    <w:p>
      <w:pPr>
        <w:numPr>
          <w:ilvl w:val="0"/>
          <w:numId w:val="1015"/>
        </w:numPr>
        <w:pStyle w:val="Compact"/>
      </w:pPr>
      <w:r>
        <w:rPr>
          <w:bCs/>
          <w:b/>
        </w:rPr>
        <w:t xml:space="preserve">Strengthen Circularity:</w:t>
      </w:r>
      <w:r>
        <w:t xml:space="preserve"> </w:t>
      </w:r>
      <w:r>
        <w:t xml:space="preserve">Promote and expand the existing take-back program and explore partnerships for advanced recycling technologies to maximize material recovery and further reduce EoL impacts.</w:t>
      </w:r>
    </w:p>
    <w:p>
      <w:pPr>
        <w:numPr>
          <w:ilvl w:val="0"/>
          <w:numId w:val="1015"/>
        </w:numPr>
        <w:pStyle w:val="Compact"/>
      </w:pPr>
      <w:r>
        <w:rPr>
          <w:bCs/>
          <w:b/>
        </w:rPr>
        <w:t xml:space="preserve">Supplier Engagement:</w:t>
      </w:r>
      <w:r>
        <w:t xml:space="preserve"> </w:t>
      </w:r>
      <w:r>
        <w:t xml:space="preserve">Work closely with material and component suppliers to gather more specific, primary emission data and encourage their decarbonization initiatives.</w:t>
      </w:r>
    </w:p>
    <w:p>
      <w:pPr>
        <w:pStyle w:val="FirstParagraph"/>
      </w:pPr>
      <w:r>
        <w:t xml:space="preserve">Confidential - Internal Use Only | Page</w:t>
      </w:r>
      <w:r>
        <w:t xml:space="preserve"> </w:t>
      </w:r>
      <w:bookmarkStart w:id="41" w:name="page-num"/>
      <w:r>
        <w:t xml:space="preserve">1</w:t>
      </w:r>
      <w:bookmarkEnd w:id="41"/>
      <w:r>
        <w:t xml:space="preserve"> </w:t>
      </w:r>
      <w:r>
        <w:t xml:space="preserve">of</w:t>
      </w:r>
      <w:r>
        <w:t xml:space="preserve"> </w:t>
      </w:r>
      <w:bookmarkStart w:id="42" w:name="total-pages"/>
      <w:r>
        <w:t xml:space="preserve">1</w:t>
      </w:r>
      <w:bookmarkEnd w:id="42"/>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wgjtjzsdnn</dc:title>
  <dc:creator/>
  <dc:description>Detailed Product Carbon Footprint (PCF) analysis report for wgjtjzsdnn by vxzrwoxfzo, adhering to GHG Protocol standards and 2026 LSR Update.</dc:description>
  <dc:language>en</dc:language>
  <cp:keywords/>
  <dcterms:created xsi:type="dcterms:W3CDTF">2026-10-16T20:15:18Z</dcterms:created>
  <dcterms:modified xsi:type="dcterms:W3CDTF">2026-10-16T20:15:18Z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