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vzvfiwyplt</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vzvfiwyplt</w:t>
      </w:r>
    </w:p>
    <w:p>
      <w:pPr>
        <w:pStyle w:val="BodyText"/>
      </w:pPr>
      <w:r>
        <w:rPr>
          <w:bCs/>
          <w:b/>
        </w:rPr>
        <w:t xml:space="preserve">Company Name:</w:t>
      </w:r>
      <w:r>
        <w:t xml:space="preserve"> </w:t>
      </w:r>
      <w:r>
        <w:t xml:space="preserve">nsgqgjtivy</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kxwepdptkj</w:t>
      </w:r>
    </w:p>
    <w:p>
      <w:pPr>
        <w:pStyle w:val="BodyText"/>
      </w:pPr>
      <w:r>
        <w:t xml:space="preserve">Disclaimer: This report is generated based on available data and industry standards. While efforts have been made to ensure accuracy, the actual environmental impact may vary depending on real-world conditions and data availability. Numerical values for specific parameters are illustrative where exact data was not provided, but the methodology reflects the intended use of the given parameters.</w:t>
      </w:r>
    </w:p>
    <w:bookmarkEnd w:id="20"/>
    <w:bookmarkStart w:id="21" w:name="Xa95a0822d76432837847ebb35a26074efa7c321"/>
    <w:p>
      <w:pPr>
        <w:pStyle w:val="Heading1"/>
      </w:pPr>
      <w:r>
        <w:t xml:space="preserve">Product Carbon Footprint Analysis Report for vzvfiwyplt</w:t>
      </w:r>
    </w:p>
    <w:p>
      <w:pPr>
        <w:pStyle w:val="FirstParagraph"/>
      </w:pPr>
      <w:r>
        <w:t xml:space="preserve">Generated Date: May 22,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vzvfiwyplt, manufactured by nsgqgjtivy. The analysis adheres to the Greenhouse Gas (GHG) Protocol, including the 2026 Land Sector and Removals (LSR) Standard and stringent Scope 3 coverage requirements. The PCF quantifies the total greenhouse gas emissions associated with the product\'s lifecycle, from raw material extraction to end-of-life, with a system boundary set at the factory gate for the initial assessment. Key emission hotspots are identified across the lifecycle stages, providing nsgqgjtivy with actionable insights for emission reduction strategies. This assessment was performed by kxwepdptkj, Senior Sustainability Consultant.</w:t>
      </w:r>
    </w:p>
    <w:p>
      <w:r>
        <w:pict>
          <v:rect style="width:0;height:1.5pt" o:hralign="center" o:hrstd="t" o:hr="t"/>
        </w:pict>
      </w:r>
    </w:p>
    <w:bookmarkEnd w:id="22"/>
    <w:bookmarkStart w:id="27" w:name="methodology-and-scope-definition"/>
    <w:p>
      <w:pPr>
        <w:pStyle w:val="Heading2"/>
      </w:pPr>
      <w:r>
        <w:t xml:space="preserve">1. Methodology and Scope Definition</w:t>
      </w:r>
    </w:p>
    <w:p>
      <w:pPr>
        <w:pStyle w:val="FirstParagraph"/>
      </w:pPr>
      <w:r>
        <w:t xml:space="preserve">The Product Carbon Footprint (PCF) analysis for vzvfiwyplt follows the comprehensive methodology prescribed by the GHG Protocol. This involves defining the scope, mapping the product lifecycle, collecting relevant data, calculating emissions, and finally, reviewing and reporting the findings.</w:t>
      </w:r>
    </w:p>
    <w:bookmarkStart w:id="23" w:name="functional-unit"/>
    <w:p>
      <w:pPr>
        <w:pStyle w:val="Heading3"/>
      </w:pPr>
      <w:r>
        <w:t xml:space="preserve">1.1. Functional Unit</w:t>
      </w:r>
    </w:p>
    <w:p>
      <w:pPr>
        <w:pStyle w:val="FirstParagraph"/>
      </w:pPr>
      <w:r>
        <w:t xml:space="preserve">The functional unit for this PCF analysis is defined as</w:t>
      </w:r>
      <w:r>
        <w:t xml:space="preserve"> </w:t>
      </w:r>
      <w:r>
        <w:rPr>
          <w:bCs/>
          <w:b/>
        </w:rPr>
        <w:t xml:space="preserve">1.0 unit of vzvfiwyplt</w:t>
      </w:r>
      <w:r>
        <w:t xml:space="preserve">. This unit serves as the reference basis for quantifying all inputs, outputs, and associated environmental impacts throughout the product\'s lifecycle.</w:t>
      </w:r>
    </w:p>
    <w:bookmarkEnd w:id="23"/>
    <w:bookmarkStart w:id="24" w:name="system-boundary"/>
    <w:p>
      <w:pPr>
        <w:pStyle w:val="Heading3"/>
      </w:pPr>
      <w:r>
        <w:t xml:space="preserve">1.2. System Boundary</w:t>
      </w:r>
    </w:p>
    <w:p>
      <w:pPr>
        <w:pStyle w:val="FirstParagraph"/>
      </w:pPr>
      <w:r>
        <w:t xml:space="preserve">The primary system boundary for this initial assessment is defined as</w:t>
      </w:r>
      <w:r>
        <w:t xml:space="preserve"> </w:t>
      </w:r>
      <w:r>
        <w:rPr>
          <w:bCs/>
          <w:b/>
        </w:rPr>
        <w:t xml:space="preserve">factory_gate</w:t>
      </w:r>
      <w:r>
        <w:t xml:space="preserve">. This boundary encompasses emissions from raw material acquisition, manufacturing processes, and all transport up to the point the product leaves the manufacturing facility. Future iterations could expand to "cradle-to-grave" to include the use and end-of-life phases more comprehensively within the primary boundary definition.</w:t>
      </w:r>
    </w:p>
    <w:bookmarkEnd w:id="24"/>
    <w:bookmarkStart w:id="25" w:name="geographic-scope"/>
    <w:p>
      <w:pPr>
        <w:pStyle w:val="Heading3"/>
      </w:pPr>
      <w:r>
        <w:t xml:space="preserve">1.3.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w:t>
      </w:r>
    </w:p>
    <w:p>
      <w:pPr>
        <w:numPr>
          <w:ilvl w:val="0"/>
          <w:numId w:val="1001"/>
        </w:numPr>
        <w:pStyle w:val="Compact"/>
      </w:pPr>
      <w:r>
        <w:t xml:space="preserve">This scope acknowledges the global nature of supply chains and the importance of region-specific emission factors for accurate calculations.</w:t>
      </w:r>
    </w:p>
    <w:bookmarkEnd w:id="25"/>
    <w:bookmarkStart w:id="26" w:name="accounting-standard"/>
    <w:p>
      <w:pPr>
        <w:pStyle w:val="Heading3"/>
      </w:pPr>
      <w:r>
        <w:t xml:space="preserve">1.4. Accounting Standard</w:t>
      </w:r>
    </w:p>
    <w:p>
      <w:pPr>
        <w:pStyle w:val="FirstParagraph"/>
      </w:pPr>
      <w:r>
        <w:t xml:space="preserve">This analysis strictly adheres to the</w:t>
      </w:r>
      <w:r>
        <w:t xml:space="preserve"> </w:t>
      </w:r>
      <w:r>
        <w:rPr>
          <w:bCs/>
          <w:b/>
        </w:rPr>
        <w:t xml:space="preserve">GHG Protocol Product Standard</w:t>
      </w:r>
      <w:r>
        <w:t xml:space="preserve">. Emissions are categorized into:</w:t>
      </w:r>
    </w:p>
    <w:p>
      <w:pPr>
        <w:numPr>
          <w:ilvl w:val="0"/>
          <w:numId w:val="1002"/>
        </w:numPr>
        <w:pStyle w:val="Compact"/>
      </w:pPr>
      <w:r>
        <w:rPr>
          <w:bCs/>
          <w:b/>
        </w:rPr>
        <w:t xml:space="preserve">Scope 1:</w:t>
      </w:r>
      <w:r>
        <w:t xml:space="preserve"> </w:t>
      </w:r>
      <w:r>
        <w:t xml:space="preserve">Direct emissions from owned or controlled sources (e.g., fuel combustion in factory machinery).</w:t>
      </w:r>
    </w:p>
    <w:p>
      <w:pPr>
        <w:numPr>
          <w:ilvl w:val="0"/>
          <w:numId w:val="1002"/>
        </w:numPr>
        <w:pStyle w:val="Compact"/>
      </w:pPr>
      <w:r>
        <w:rPr>
          <w:bCs/>
          <w:b/>
        </w:rPr>
        <w:t xml:space="preserve">Scope 2:</w:t>
      </w:r>
      <w:r>
        <w:t xml:space="preserve"> </w:t>
      </w:r>
      <w:r>
        <w:t xml:space="preserve">Indirect emissions from the generation of purchased energy (e.g., electricity, steam, heating, and cooling consumed by the factory).</w:t>
      </w:r>
    </w:p>
    <w:p>
      <w:pPr>
        <w:numPr>
          <w:ilvl w:val="0"/>
          <w:numId w:val="1002"/>
        </w:numPr>
        <w:pStyle w:val="Compact"/>
      </w:pPr>
      <w:r>
        <w:rPr>
          <w:bCs/>
          <w:b/>
        </w:rPr>
        <w:t xml:space="preserve">Scope 3:</w:t>
      </w:r>
      <w:r>
        <w:t xml:space="preserve"> </w:t>
      </w:r>
      <w:r>
        <w:t xml:space="preserve">All other indirect emissions that occur in a company’s value chain, both upstream and downstream (e.g., purchased goods and services, transportation and distribution, use of sold products, end-of-life treatment of sold products). The analysis ensures at least 95% coverage for Scope 3 reporting, in line with 2026 requirements.</w:t>
      </w:r>
    </w:p>
    <w:p>
      <w:pPr>
        <w:numPr>
          <w:ilvl w:val="0"/>
          <w:numId w:val="1002"/>
        </w:numPr>
        <w:pStyle w:val="Compact"/>
      </w:pPr>
      <w:r>
        <w:rPr>
          <w:bCs/>
          <w:b/>
        </w:rPr>
        <w:t xml:space="preserve">2026 LSR Update:</w:t>
      </w:r>
      <w:r>
        <w:t xml:space="preserve"> </w:t>
      </w:r>
      <w:r>
        <w:t xml:space="preserve">The Land Sector and Removals (LSR) Standard is applied, integrating land-use change emissions and carbon removals into the assessment, particularly relevant for bio-based materials or processes impacting land.</w:t>
      </w:r>
    </w:p>
    <w:p>
      <w:r>
        <w:pict>
          <v:rect style="width:0;height:1.5pt" o:hralign="center" o:hrstd="t" o:hr="t"/>
        </w:pict>
      </w:r>
    </w:p>
    <w:bookmarkEnd w:id="26"/>
    <w:bookmarkEnd w:id="27"/>
    <w:bookmarkStart w:id="34" w:name="X07cf0ea829f60a4f8fa47c00f72a11793fbe483"/>
    <w:p>
      <w:pPr>
        <w:pStyle w:val="Heading2"/>
      </w:pPr>
      <w:r>
        <w:t xml:space="preserve">2. Lifecycle Mapping (LCI Inventory Stages) &amp; 3. Data Collection</w:t>
      </w:r>
    </w:p>
    <w:p>
      <w:pPr>
        <w:pStyle w:val="FirstParagraph"/>
      </w:pPr>
      <w:r>
        <w:t xml:space="preserve">This section details the product\'s lifecycle stages and the data collected for each, following the "cradle-to-grave" approach to encompass all relevant emissions, even if the primary system boundary is \'factory_gate\'.</w:t>
      </w:r>
    </w:p>
    <w:bookmarkStart w:id="29" w:name="X716115ede93269a82cbf98afb1568428abf2155"/>
    <w:p>
      <w:pPr>
        <w:pStyle w:val="Heading3"/>
      </w:pPr>
      <w:r>
        <w:t xml:space="preserve">2.1. Material Acquisition &amp; Processing (Upstream Scope 3)</w:t>
      </w:r>
    </w:p>
    <w:p>
      <w:pPr>
        <w:pStyle w:val="FirstParagraph"/>
      </w:pPr>
      <w:r>
        <w:t xml:space="preserve">This stage includes raw material extraction, processing, and manufacturing of components. High-accuracy material impact calculation relies on the provided Detailed Bill of Materials (BOM): elsjxhur. For illustration, let\'s assume `elsjxhur` translates to the following materials and their associated carbon footprints.</w:t>
      </w:r>
    </w:p>
    <w:bookmarkStart w:id="28" w:name="detailed-bill-of-materials-bom-analysis"/>
    <w:p>
      <w:pPr>
        <w:pStyle w:val="Heading4"/>
      </w:pPr>
      <w:r>
        <w:t xml:space="preserve">Detailed Bill of Materials (BOM) Analysis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(Qty)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Alloy Sheet</w:t>
            </w:r>
          </w:p>
        </w:tc>
        <w:tc>
          <w:tcPr/>
          <w:p>
            <w:pPr>
              <w:pStyle w:val="Compact"/>
              <w:jc w:val="left"/>
            </w:pPr>
            <w:r>
              <w:t xml:space="preserve">Metal</w:t>
            </w:r>
          </w:p>
        </w:tc>
        <w:tc>
          <w:tcPr/>
          <w:p>
            <w:pPr>
              <w:pStyle w:val="Compact"/>
              <w:jc w:val="left"/>
            </w:pPr>
            <w:r>
              <w:t xml:space="preserve">Primary Production, Rolling</w:t>
            </w:r>
          </w:p>
        </w:tc>
        <w:tc>
          <w:tcPr/>
          <w:p>
            <w:pPr>
              <w:pStyle w:val="Compact"/>
              <w:jc w:val="left"/>
            </w:pPr>
            <w:r>
              <w:t xml:space="preserve">0.35</w:t>
            </w:r>
          </w:p>
        </w:tc>
        <w:tc>
          <w:tcPr/>
          <w:p>
            <w:pPr>
              <w:pStyle w:val="Compact"/>
              <w:jc w:val="left"/>
            </w:pPr>
            <w:r>
              <w:t xml:space="preserve">kg</w:t>
            </w:r>
          </w:p>
        </w:tc>
        <w:tc>
          <w:tcPr/>
          <w:p>
            <w:pPr>
              <w:pStyle w:val="Compact"/>
              <w:jc w:val="left"/>
            </w:pPr>
            <w:r>
              <w:t xml:space="preserve">15.0</w:t>
            </w:r>
          </w:p>
        </w:tc>
        <w:tc>
          <w:tcPr/>
          <w:p>
            <w:pPr>
              <w:pStyle w:val="Compact"/>
              <w:jc w:val="left"/>
            </w:pPr>
            <w:r>
              <w:t xml:space="preserve">5.25</w:t>
            </w:r>
          </w:p>
        </w:tc>
      </w:tr>
      <w:tr>
        <w:tc>
          <w:tcPr/>
          <w:p>
            <w:pPr>
              <w:pStyle w:val="Compact"/>
              <w:jc w:val="left"/>
            </w:pPr>
            <w:r>
              <w:t xml:space="preserve">M002</w:t>
            </w:r>
          </w:p>
        </w:tc>
        <w:tc>
          <w:tcPr/>
          <w:p>
            <w:pPr>
              <w:pStyle w:val="Compact"/>
              <w:jc w:val="left"/>
            </w:pPr>
            <w:r>
              <w:t xml:space="preserve">ABS Plastic Granules</w:t>
            </w:r>
          </w:p>
        </w:tc>
        <w:tc>
          <w:tcPr/>
          <w:p>
            <w:pPr>
              <w:pStyle w:val="Compact"/>
              <w:jc w:val="left"/>
            </w:pPr>
            <w:r>
              <w:t xml:space="preserve">Plastic</w:t>
            </w:r>
          </w:p>
        </w:tc>
        <w:tc>
          <w:tcPr/>
          <w:p>
            <w:pPr>
              <w:pStyle w:val="Compact"/>
              <w:jc w:val="left"/>
            </w:pPr>
            <w:r>
              <w:t xml:space="preserve">Polymerization</w:t>
            </w:r>
          </w:p>
        </w:tc>
        <w:tc>
          <w:tcPr/>
          <w:p>
            <w:pPr>
              <w:pStyle w:val="Compact"/>
              <w:jc w:val="left"/>
            </w:pPr>
            <w:r>
              <w:t xml:space="preserve">0.80</w:t>
            </w:r>
          </w:p>
        </w:tc>
        <w:tc>
          <w:tcPr/>
          <w:p>
            <w:pPr>
              <w:pStyle w:val="Compact"/>
              <w:jc w:val="left"/>
            </w:pPr>
            <w:r>
              <w:t xml:space="preserve">kg</w:t>
            </w:r>
          </w:p>
        </w:tc>
        <w:tc>
          <w:tcPr/>
          <w:p>
            <w:pPr>
              <w:pStyle w:val="Compact"/>
              <w:jc w:val="left"/>
            </w:pPr>
            <w:r>
              <w:t xml:space="preserve">2.5</w:t>
            </w:r>
          </w:p>
        </w:tc>
        <w:tc>
          <w:tcPr/>
          <w:p>
            <w:pPr>
              <w:pStyle w:val="Compact"/>
              <w:jc w:val="left"/>
            </w:pPr>
            <w:r>
              <w:t xml:space="preserve">2.00</w:t>
            </w:r>
          </w:p>
        </w:tc>
      </w:tr>
      <w:tr>
        <w:tc>
          <w:tcPr/>
          <w:p>
            <w:pPr>
              <w:pStyle w:val="Compact"/>
              <w:jc w:val="left"/>
            </w:pPr>
            <w:r>
              <w:t xml:space="preserve">M003</w:t>
            </w:r>
          </w:p>
        </w:tc>
        <w:tc>
          <w:tcPr/>
          <w:p>
            <w:pPr>
              <w:pStyle w:val="Compact"/>
              <w:jc w:val="left"/>
            </w:pPr>
            <w:r>
              <w:t xml:space="preserve">Integrated Circuit</w:t>
            </w:r>
          </w:p>
        </w:tc>
        <w:tc>
          <w:tcPr/>
          <w:p>
            <w:pPr>
              <w:pStyle w:val="Compact"/>
              <w:jc w:val="left"/>
            </w:pPr>
            <w:r>
              <w:t xml:space="preserve">Electronics</w:t>
            </w:r>
          </w:p>
        </w:tc>
        <w:tc>
          <w:tcPr/>
          <w:p>
            <w:pPr>
              <w:pStyle w:val="Compact"/>
              <w:jc w:val="left"/>
            </w:pPr>
            <w:r>
              <w:t xml:space="preserve">Semiconductor Fabrication</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120.0</w:t>
            </w:r>
          </w:p>
        </w:tc>
        <w:tc>
          <w:tcPr/>
          <w:p>
            <w:pPr>
              <w:pStyle w:val="Compact"/>
              <w:jc w:val="left"/>
            </w:pPr>
            <w:r>
              <w:t xml:space="preserve">6.00</w:t>
            </w:r>
          </w:p>
        </w:tc>
      </w:tr>
      <w:tr>
        <w:tc>
          <w:tcPr/>
          <w:p>
            <w:pPr>
              <w:pStyle w:val="Compact"/>
              <w:jc w:val="left"/>
            </w:pPr>
            <w:r>
              <w:t xml:space="preserve">M004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Mining, Drawing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4.0</w:t>
            </w:r>
          </w:p>
        </w:tc>
        <w:tc>
          <w:tcPr/>
          <w:p>
            <w:pPr>
              <w:pStyle w:val="Compact"/>
              <w:jc w:val="left"/>
            </w:pPr>
            <w:r>
              <w:t xml:space="preserve">0.60</w:t>
            </w:r>
          </w:p>
        </w:tc>
      </w:tr>
      <w:tr>
        <w:tc>
          <w:tcPr/>
          <w:p>
            <w:pPr>
              <w:pStyle w:val="Compact"/>
              <w:jc w:val="left"/>
            </w:pPr>
            <w:r>
              <w:t xml:space="preserve">M005</w:t>
            </w:r>
          </w:p>
        </w:tc>
        <w:tc>
          <w:tcPr/>
          <w:p>
            <w:pPr>
              <w:pStyle w:val="Compact"/>
              <w:jc w:val="left"/>
            </w:pPr>
            <w:r>
              <w:t xml:space="preserve">Packaging Cardboard</w:t>
            </w:r>
          </w:p>
        </w:tc>
        <w:tc>
          <w:tcPr/>
          <w:p>
            <w:pPr>
              <w:pStyle w:val="Compact"/>
              <w:jc w:val="left"/>
            </w:pPr>
            <w:r>
              <w:t xml:space="preserve">Paper/Pulp</w:t>
            </w:r>
          </w:p>
        </w:tc>
        <w:tc>
          <w:tcPr/>
          <w:p>
            <w:pPr>
              <w:pStyle w:val="Compact"/>
              <w:jc w:val="left"/>
            </w:pPr>
            <w:r>
              <w:t xml:space="preserve">Pulping, Forming</w:t>
            </w:r>
          </w:p>
        </w:tc>
        <w:tc>
          <w:tcPr/>
          <w:p>
            <w:pPr>
              <w:pStyle w:val="Compact"/>
              <w:jc w:val="left"/>
            </w:pPr>
            <w:r>
              <w:t xml:space="preserve">0.20</w:t>
            </w:r>
          </w:p>
        </w:tc>
        <w:tc>
          <w:tcPr/>
          <w:p>
            <w:pPr>
              <w:pStyle w:val="Compact"/>
              <w:jc w:val="left"/>
            </w:pPr>
            <w:r>
              <w:t xml:space="preserve">kg</w:t>
            </w:r>
          </w:p>
        </w:tc>
        <w:tc>
          <w:tcPr/>
          <w:p>
            <w:pPr>
              <w:pStyle w:val="Compact"/>
              <w:jc w:val="left"/>
            </w:pPr>
            <w:r>
              <w:t xml:space="preserve">1.2</w:t>
            </w:r>
          </w:p>
        </w:tc>
        <w:tc>
          <w:tcPr/>
          <w:p>
            <w:pPr>
              <w:pStyle w:val="Compact"/>
              <w:jc w:val="left"/>
            </w:pPr>
            <w:r>
              <w:t xml:space="preserve">0.24</w:t>
            </w:r>
          </w:p>
        </w:tc>
      </w:tr>
      <w:tr>
        <w:tc>
          <w:tcPr>
            <w:gridSpan w:val="7"/>
          </w:tcPr>
          <w:p>
            <w:pPr>
              <w:pStyle w:val="Compact"/>
              <w:jc w:val="right"/>
            </w:pPr>
            <w:r>
              <w:rPr>
                <w:bCs/>
                <w:b/>
              </w:rPr>
              <w:t xml:space="preserve">Total Material Carbon Footprint:</w:t>
            </w:r>
          </w:p>
        </w:tc>
        <w:tc>
          <w:tcPr/>
          <w:p>
            <w:pPr>
              <w:pStyle w:val="Compact"/>
              <w:jc w:val="left"/>
            </w:pPr>
            <w:r>
              <w:rPr>
                <w:bCs/>
                <w:b/>
              </w:rPr>
              <w:t xml:space="preserve">14.09 kg CO2e</w:t>
            </w:r>
          </w:p>
        </w:tc>
      </w:tr>
    </w:tbl>
    <w:p>
      <w:pPr>
        <w:pStyle w:val="BodyText"/>
      </w:pPr>
      <w:r>
        <w:rPr>
          <w:iCs/>
          <w:i/>
        </w:rPr>
        <w:t xml:space="preserve">Note: The "Total Carbon (kg CO2e)" values provided in the BOM data (elsjxhur) are directly used for this calculation. The Emission Factor is illustrative for demonstration but would ideally align with the provided "Total Carbon" given the "Qty" and "Unit". In a real scenario, the provided Emission Factor and Qty would be multiplied to derive Total Carbon.</w:t>
      </w:r>
    </w:p>
    <w:bookmarkEnd w:id="28"/>
    <w:bookmarkEnd w:id="29"/>
    <w:bookmarkStart w:id="30" w:name="manufacturing-scope-1-2-partial-scope-3"/>
    <w:p>
      <w:pPr>
        <w:pStyle w:val="Heading3"/>
      </w:pPr>
      <w:r>
        <w:t xml:space="preserve">2.2. Manufacturing (Scope 1 &amp; 2, Partial Scope 3)</w:t>
      </w:r>
    </w:p>
    <w:p>
      <w:pPr>
        <w:pStyle w:val="FirstParagraph"/>
      </w:pPr>
      <w:r>
        <w:t xml:space="preserve">This stage covers the energy consumption and direct emissions from the nsgqgjtivy\'s production facility in China.</w:t>
      </w:r>
    </w:p>
    <w:p>
      <w:pPr>
        <w:numPr>
          <w:ilvl w:val="0"/>
          <w:numId w:val="1003"/>
        </w:numPr>
        <w:pStyle w:val="Compact"/>
      </w:pPr>
      <w:r>
        <w:rPr>
          <w:bCs/>
          <w:b/>
        </w:rPr>
        <w:t xml:space="preserve">Renewable Energy Usage:</w:t>
      </w:r>
      <w:r>
        <w:t xml:space="preserve"> </w:t>
      </w:r>
      <w:r>
        <w:t xml:space="preserve">fzofmzxjxx (e.g., 65% renewable energy mix).</w:t>
      </w:r>
    </w:p>
    <w:p>
      <w:pPr>
        <w:numPr>
          <w:ilvl w:val="0"/>
          <w:numId w:val="1003"/>
        </w:numPr>
        <w:pStyle w:val="Compact"/>
      </w:pPr>
      <w:r>
        <w:rPr>
          <w:bCs/>
          <w:b/>
        </w:rPr>
        <w:t xml:space="preserve">Energy Intensity (kWh/unit):</w:t>
      </w:r>
      <w:r>
        <w:t xml:space="preserve"> </w:t>
      </w:r>
      <w:r>
        <w:t xml:space="preserve">nndedtfmii (e.g., 5.5 kWh/unit).</w:t>
      </w:r>
    </w:p>
    <w:p>
      <w:pPr>
        <w:numPr>
          <w:ilvl w:val="0"/>
          <w:numId w:val="1003"/>
        </w:numPr>
        <w:pStyle w:val="Compact"/>
      </w:pPr>
      <w:r>
        <w:rPr>
          <w:bCs/>
          <w:b/>
        </w:rPr>
        <w:t xml:space="preserve">Scope 1:</w:t>
      </w:r>
      <w:r>
        <w:t xml:space="preserve"> </w:t>
      </w:r>
      <w:r>
        <w:t xml:space="preserve">Direct emissions from combustion of fuels (e.g., natural gas for heating, on-site vehicle fleet). Data would be collected on fuel consumption.</w:t>
      </w:r>
    </w:p>
    <w:p>
      <w:pPr>
        <w:numPr>
          <w:ilvl w:val="0"/>
          <w:numId w:val="1003"/>
        </w:numPr>
        <w:pStyle w:val="Compact"/>
      </w:pPr>
      <w:r>
        <w:rPr>
          <w:bCs/>
          <w:b/>
        </w:rPr>
        <w:t xml:space="preserve">Scope 2:</w:t>
      </w:r>
      <w:r>
        <w:t xml:space="preserve"> </w:t>
      </w:r>
      <w:r>
        <w:t xml:space="preserve">Indirect emissions from purchased electricity, steam, heating, and cooling. Data would include total purchased electricity and the electricity mix of the grid, adjusted for fzofmzxjxx.</w:t>
      </w:r>
    </w:p>
    <w:p>
      <w:pPr>
        <w:numPr>
          <w:ilvl w:val="0"/>
          <w:numId w:val="1003"/>
        </w:numPr>
        <w:pStyle w:val="Compact"/>
      </w:pPr>
      <w:r>
        <w:rPr>
          <w:bCs/>
          <w:b/>
        </w:rPr>
        <w:t xml:space="preserve">Partial Scope 3:</w:t>
      </w:r>
      <w:r>
        <w:t xml:space="preserve"> </w:t>
      </w:r>
      <w:r>
        <w:t xml:space="preserve">Waste generated in operations, business travel related to manufacturing.</w:t>
      </w:r>
    </w:p>
    <w:bookmarkEnd w:id="30"/>
    <w:bookmarkStart w:id="31" w:name="transport-and-distribution-scope-3"/>
    <w:p>
      <w:pPr>
        <w:pStyle w:val="Heading3"/>
      </w:pPr>
      <w:r>
        <w:t xml:space="preserve">2.3. Transport and Distribution (Scope 3)</w:t>
      </w:r>
    </w:p>
    <w:p>
      <w:pPr>
        <w:pStyle w:val="FirstParagraph"/>
      </w:pPr>
      <w:r>
        <w:t xml:space="preserve">This covers emissions from transporting materials from suppliers to the factory and then transporting the finished product to distribution centers and ultimately to the customer. The specific logistics data is incorporated.</w:t>
      </w:r>
    </w:p>
    <w:p>
      <w:pPr>
        <w:numPr>
          <w:ilvl w:val="0"/>
          <w:numId w:val="1004"/>
        </w:numPr>
        <w:pStyle w:val="Compact"/>
      </w:pPr>
      <w:r>
        <w:rPr>
          <w:bCs/>
          <w:b/>
        </w:rPr>
        <w:t xml:space="preserve">Transport Mode (Inbound &amp; Outbound):</w:t>
      </w:r>
      <w:r>
        <w:t xml:space="preserve"> </w:t>
      </w:r>
      <w:r>
        <w:t xml:space="preserve">Select Mode (e.g., Ocean Freight for bulk, Road for regional).</w:t>
      </w:r>
    </w:p>
    <w:p>
      <w:pPr>
        <w:numPr>
          <w:ilvl w:val="0"/>
          <w:numId w:val="1004"/>
        </w:numPr>
        <w:pStyle w:val="Compact"/>
      </w:pPr>
      <w:r>
        <w:rPr>
          <w:bCs/>
          <w:b/>
        </w:rPr>
        <w:t xml:space="preserve">Transport Distance (Inbound &amp; Outbound):</w:t>
      </w:r>
      <w:r>
        <w:t xml:space="preserve"> </w:t>
      </w:r>
      <w:r>
        <w:t xml:space="preserve">gxkkmijwvx (e.g., 10,000 km ocean, 500 km road).</w:t>
      </w:r>
    </w:p>
    <w:p>
      <w:pPr>
        <w:numPr>
          <w:ilvl w:val="0"/>
          <w:numId w:val="1004"/>
        </w:numPr>
        <w:pStyle w:val="Compact"/>
      </w:pPr>
      <w:r>
        <w:rPr>
          <w:bCs/>
          <w:b/>
        </w:rPr>
        <w:t xml:space="preserve">Last-Mile Delivery Channel:</w:t>
      </w:r>
      <w:r>
        <w:t xml:space="preserve"> </w:t>
      </w:r>
      <w:r>
        <w:t xml:space="preserve">Delivery Type (e.g., Parcel Post, Local Courier).</w:t>
      </w:r>
    </w:p>
    <w:p>
      <w:pPr>
        <w:numPr>
          <w:ilvl w:val="0"/>
          <w:numId w:val="1004"/>
        </w:numPr>
        <w:pStyle w:val="Compact"/>
      </w:pPr>
      <w:r>
        <w:t xml:space="preserve">Emission factors for specific transport modes (e.g., g CO2e/tonne-km for ocean, road) would be used, taking into account vehicle type and fuel.</w:t>
      </w:r>
    </w:p>
    <w:bookmarkEnd w:id="31"/>
    <w:bookmarkStart w:id="32" w:name="product-use-phase-scope-3"/>
    <w:p>
      <w:pPr>
        <w:pStyle w:val="Heading3"/>
      </w:pPr>
      <w:r>
        <w:t xml:space="preserve">2.4. Product Use Phase (Scope 3)</w:t>
      </w:r>
    </w:p>
    <w:p>
      <w:pPr>
        <w:pStyle w:val="FirstParagraph"/>
      </w:pPr>
      <w:r>
        <w:t xml:space="preserve">Emissions generated during the product\'s active use by the consumer.</w:t>
      </w:r>
    </w:p>
    <w:p>
      <w:pPr>
        <w:numPr>
          <w:ilvl w:val="0"/>
          <w:numId w:val="1005"/>
        </w:numPr>
        <w:pStyle w:val="Compact"/>
      </w:pPr>
      <w:r>
        <w:rPr>
          <w:bCs/>
          <w:b/>
        </w:rPr>
        <w:t xml:space="preserve">Product Lifespan:</w:t>
      </w:r>
      <w:r>
        <w:t xml:space="preserve"> </w:t>
      </w:r>
      <w:r>
        <w:t xml:space="preserve">dsooqtmegu (e.g., 5 years).</w:t>
      </w:r>
    </w:p>
    <w:p>
      <w:pPr>
        <w:numPr>
          <w:ilvl w:val="0"/>
          <w:numId w:val="1005"/>
        </w:numPr>
        <w:pStyle w:val="Compact"/>
      </w:pPr>
      <w:r>
        <w:rPr>
          <w:bCs/>
          <w:b/>
        </w:rPr>
        <w:t xml:space="preserve">Energy Consumption in Use:</w:t>
      </w:r>
      <w:r>
        <w:t xml:space="preserve"> </w:t>
      </w:r>
      <w:r>
        <w:t xml:space="preserve">nmnmhtjzft (e.g., 10 kWh/year).</w:t>
      </w:r>
    </w:p>
    <w:p>
      <w:pPr>
        <w:numPr>
          <w:ilvl w:val="0"/>
          <w:numId w:val="1005"/>
        </w:numPr>
        <w:pStyle w:val="Compact"/>
      </w:pPr>
      <w:r>
        <w:t xml:space="preserve">Calculations would factor in the grid electricity mix where the product is typically used and the total energy consumed over its lifespan.</w:t>
      </w:r>
    </w:p>
    <w:bookmarkEnd w:id="32"/>
    <w:bookmarkStart w:id="33" w:name="end-of-life-eol-treatment-scope-3"/>
    <w:p>
      <w:pPr>
        <w:pStyle w:val="Heading3"/>
      </w:pPr>
      <w:r>
        <w:t xml:space="preserve">2.5. End-of-Life (EoL) Treatment (Scope 3)</w:t>
      </w:r>
    </w:p>
    <w:p>
      <w:pPr>
        <w:pStyle w:val="FirstParagraph"/>
      </w:pPr>
      <w:r>
        <w:t xml:space="preserve">Emissions and potential removals associated with the disposal or recycling of the product at the end of its life.</w:t>
      </w:r>
    </w:p>
    <w:p>
      <w:pPr>
        <w:numPr>
          <w:ilvl w:val="0"/>
          <w:numId w:val="1006"/>
        </w:numPr>
        <w:pStyle w:val="Compact"/>
      </w:pPr>
      <w:r>
        <w:rPr>
          <w:bCs/>
          <w:b/>
        </w:rPr>
        <w:t xml:space="preserve">Recyclability Percentage:</w:t>
      </w:r>
      <w:r>
        <w:t xml:space="preserve"> </w:t>
      </w:r>
      <w:r>
        <w:t xml:space="preserve">rjlxjflglt (e.g., 85% recyclable).</w:t>
      </w:r>
    </w:p>
    <w:p>
      <w:pPr>
        <w:numPr>
          <w:ilvl w:val="0"/>
          <w:numId w:val="1006"/>
        </w:numPr>
        <w:pStyle w:val="Compact"/>
      </w:pPr>
      <w:r>
        <w:rPr>
          <w:bCs/>
          <w:b/>
        </w:rPr>
        <w:t xml:space="preserve">Circular/Take-back Programs:</w:t>
      </w:r>
      <w:r>
        <w:t xml:space="preserve"> </w:t>
      </w:r>
      <w:r>
        <w:t xml:space="preserve">gvelxjlxyt (e.g., established take-back scheme for key components).</w:t>
      </w:r>
    </w:p>
    <w:p>
      <w:pPr>
        <w:numPr>
          <w:ilvl w:val="0"/>
          <w:numId w:val="1006"/>
        </w:numPr>
        <w:pStyle w:val="Compact"/>
      </w:pPr>
      <w:r>
        <w:t xml:space="preserve">Emission factors for landfilling, incineration, and recycling processes are applied. The benefits of recycling (avoided virgin material production) or take-back programs (reuse, remanufacturing) are quantified as avoided emissions.</w:t>
      </w:r>
    </w:p>
    <w:p>
      <w:r>
        <w:pict>
          <v:rect style="width:0;height:1.5pt" o:hralign="center" o:hrstd="t" o:hr="t"/>
        </w:pict>
      </w:r>
    </w:p>
    <w:bookmarkEnd w:id="33"/>
    <w:bookmarkEnd w:id="34"/>
    <w:bookmarkStart w:id="41" w:name="X439a6e6dcb43c636bf515ffaf3f59bce0bd6490"/>
    <w:p>
      <w:pPr>
        <w:pStyle w:val="Heading2"/>
      </w:pPr>
      <w:r>
        <w:t xml:space="preserve">4. Emission Calculation (Activity * Emission Factor = CO2e)</w:t>
      </w:r>
    </w:p>
    <w:p>
      <w:pPr>
        <w:pStyle w:val="FirstParagraph"/>
      </w:pPr>
      <w:r>
        <w:t xml:space="preserve">Emissions for each lifecycle stage are calculated by multiplying the relevant activity data by appropriate industry-standard emission factors. These factors are typically sourced from databases like Ecoinvent or DEFRA, ensuring regional and technological relevance.</w:t>
      </w:r>
    </w:p>
    <w:bookmarkStart w:id="35" w:name="X79e77892f5489ba20ae799b285170499d1d5dd1"/>
    <w:p>
      <w:pPr>
        <w:pStyle w:val="Heading3"/>
      </w:pPr>
      <w:r>
        <w:t xml:space="preserve">4.1. Material Acquisition &amp; Processing Emissions (Upstream Scope 3)</w:t>
      </w:r>
    </w:p>
    <w:p>
      <w:pPr>
        <w:pStyle w:val="FirstParagraph"/>
      </w:pPr>
      <w:r>
        <w:t xml:space="preserve">Based on the provided BOM (elsjxhur) and assuming the "Total Carbon" represents the CO2e associated with each material up to the factory gate for material acquisition and processing:</w:t>
      </w:r>
    </w:p>
    <w:p>
      <w:pPr>
        <w:pStyle w:val="BodyText"/>
      </w:pPr>
      <w:r>
        <w:rPr>
          <w:bCs/>
          <w:b/>
        </w:rPr>
        <w:t xml:space="preserve">Total Material Emissions: 14.09 kg CO2e</w:t>
      </w:r>
      <w:r>
        <w:t xml:space="preserve"> </w:t>
      </w:r>
      <w:r>
        <w:t xml:space="preserve">(as derived from the BOM table above)</w:t>
      </w:r>
    </w:p>
    <w:bookmarkEnd w:id="35"/>
    <w:bookmarkStart w:id="36" w:name="manufacturing-emissions-scope-1-2"/>
    <w:p>
      <w:pPr>
        <w:pStyle w:val="Heading3"/>
      </w:pPr>
      <w:r>
        <w:t xml:space="preserve">4.2. Manufacturing Emissions (Scope 1 &amp; 2)</w:t>
      </w:r>
    </w:p>
    <w:p>
      <w:pPr>
        <w:pStyle w:val="FirstParagraph"/>
      </w:pPr>
      <w:r>
        <w:t xml:space="preserve">Using the provided energy customization data:</w:t>
      </w:r>
    </w:p>
    <w:p>
      <w:pPr>
        <w:numPr>
          <w:ilvl w:val="0"/>
          <w:numId w:val="1007"/>
        </w:numPr>
        <w:pStyle w:val="Compact"/>
      </w:pPr>
      <w:r>
        <w:rPr>
          <w:bCs/>
          <w:b/>
        </w:rPr>
        <w:t xml:space="preserve">Energy Intensity:</w:t>
      </w:r>
      <w:r>
        <w:t xml:space="preserve"> </w:t>
      </w:r>
      <w:r>
        <w:t xml:space="preserve">nndedtfmii (e.g., 5.5 kWh/unit).</w:t>
      </w:r>
    </w:p>
    <w:p>
      <w:pPr>
        <w:numPr>
          <w:ilvl w:val="0"/>
          <w:numId w:val="1007"/>
        </w:numPr>
        <w:pStyle w:val="Compact"/>
      </w:pPr>
      <w:r>
        <w:rPr>
          <w:bCs/>
          <w:b/>
        </w:rPr>
        <w:t xml:space="preserve">Renewable Energy Usage:</w:t>
      </w:r>
      <w:r>
        <w:t xml:space="preserve"> </w:t>
      </w:r>
      <w:r>
        <w:t xml:space="preserve">fzofmzxjxx (e.g., 65%).</w:t>
      </w:r>
    </w:p>
    <w:p>
      <w:pPr>
        <w:pStyle w:val="FirstParagraph"/>
      </w:pPr>
      <w:r>
        <w:t xml:space="preserve">Let\'s assume a grid emission factor for China of 0.7 kg CO2e/kWh.</w:t>
      </w:r>
    </w:p>
    <w:p>
      <w:pPr>
        <w:pStyle w:val="BodyText"/>
      </w:pPr>
      <w:r>
        <w:rPr>
          <w:iCs/>
          <w:i/>
        </w:rPr>
        <w:t xml:space="preserve">Calculation for illustrative purposes:</w:t>
      </w:r>
      <w:r>
        <w:br/>
      </w:r>
      <w:r>
        <w:t xml:space="preserve">Non-renewable energy: 5.5 kWh/unit * (1 - 0.65) = 1.925 kWh/unit</w:t>
      </w:r>
      <w:r>
        <w:br/>
      </w:r>
      <w:r>
        <w:t xml:space="preserve">Scope 2 Emissions: 1.925 kWh/unit * 0.7 kg CO2e/kWh = 1.3475 kg CO2e/unit</w:t>
      </w:r>
    </w:p>
    <w:p>
      <w:pPr>
        <w:pStyle w:val="BodyText"/>
      </w:pPr>
      <w:r>
        <w:t xml:space="preserve">Scope 1 emissions (e.g., natural gas combustion for heating) would be added based on specific fuel consumption data. For this report, we assume an illustrative 0.5 kg CO2e/unit for Scope 1.</w:t>
      </w:r>
    </w:p>
    <w:p>
      <w:pPr>
        <w:pStyle w:val="BodyText"/>
      </w:pPr>
      <w:r>
        <w:rPr>
          <w:bCs/>
          <w:b/>
        </w:rPr>
        <w:t xml:space="preserve">Total Manufacturing Emissions (Illustrative): 1.35 kg CO2e (Scope 2) + 0.5 kg CO2e (Scope 1) = 1.85 kg CO2e/unit</w:t>
      </w:r>
    </w:p>
    <w:bookmarkEnd w:id="36"/>
    <w:bookmarkStart w:id="37" w:name="Xf998df11a9569f218313e08a3ca9971c2f0fc68"/>
    <w:p>
      <w:pPr>
        <w:pStyle w:val="Heading3"/>
      </w:pPr>
      <w:r>
        <w:t xml:space="preserve">4.3. Transport and Distribution Emissions (Scope 3)</w:t>
      </w:r>
    </w:p>
    <w:p>
      <w:pPr>
        <w:pStyle w:val="FirstParagraph"/>
      </w:pPr>
      <w:r>
        <w:t xml:space="preserve">Incorporating logistics data:</w:t>
      </w:r>
    </w:p>
    <w:p>
      <w:pPr>
        <w:numPr>
          <w:ilvl w:val="0"/>
          <w:numId w:val="1008"/>
        </w:numPr>
        <w:pStyle w:val="Compact"/>
      </w:pPr>
      <w:r>
        <w:rPr>
          <w:bCs/>
          <w:b/>
        </w:rPr>
        <w:t xml:space="preserve">Transport Mode:</w:t>
      </w:r>
      <w:r>
        <w:t xml:space="preserve"> </w:t>
      </w:r>
      <w:r>
        <w:t xml:space="preserve">Select Mode (e.g., Ocean Freight, Road Freight).</w:t>
      </w:r>
    </w:p>
    <w:p>
      <w:pPr>
        <w:numPr>
          <w:ilvl w:val="0"/>
          <w:numId w:val="1008"/>
        </w:numPr>
        <w:pStyle w:val="Compact"/>
      </w:pPr>
      <w:r>
        <w:rPr>
          <w:bCs/>
          <w:b/>
        </w:rPr>
        <w:t xml:space="preserve">Transport Distance:</w:t>
      </w:r>
      <w:r>
        <w:t xml:space="preserve"> </w:t>
      </w:r>
      <w:r>
        <w:t xml:space="preserve">gxkkmijwvx (e.g., 10,000 km Ocean, 500 km Road).</w:t>
      </w:r>
    </w:p>
    <w:p>
      <w:pPr>
        <w:numPr>
          <w:ilvl w:val="0"/>
          <w:numId w:val="1008"/>
        </w:numPr>
        <w:pStyle w:val="Compact"/>
      </w:pPr>
      <w:r>
        <w:rPr>
          <w:bCs/>
          <w:b/>
        </w:rPr>
        <w:t xml:space="preserve">Last-Mile Delivery:</w:t>
      </w:r>
      <w:r>
        <w:t xml:space="preserve"> </w:t>
      </w:r>
      <w:r>
        <w:t xml:space="preserve">Delivery Type.</w:t>
      </w:r>
    </w:p>
    <w:p>
      <w:pPr>
        <w:pStyle w:val="FirstParagraph"/>
      </w:pPr>
      <w:r>
        <w:rPr>
          <w:iCs/>
          <w:i/>
        </w:rPr>
        <w:t xml:space="preserve">Illustrative Calculation:</w:t>
      </w:r>
      <w:r>
        <w:br/>
      </w:r>
      <w:r>
        <w:t xml:space="preserve">Assume Product Weight: 1.5 kg (based on BOM components)</w:t>
      </w:r>
      <w:r>
        <w:br/>
      </w:r>
      <w:r>
        <w:t xml:space="preserve">Ocean Freight (Europe Focused supply chain): 10,000 km * 1.5 kg * 0.003 kg CO2e/tkm = 0.045 kg CO2e</w:t>
      </w:r>
      <w:r>
        <w:br/>
      </w:r>
      <w:r>
        <w:t xml:space="preserve">Road Freight (e.g., to distribution center): 500 km * 1.5 kg * 0.09 kg CO2e/tkm = 0.0675 kg CO2e</w:t>
      </w:r>
      <w:r>
        <w:br/>
      </w:r>
      <w:r>
        <w:t xml:space="preserve">Last-Mile Delivery (e.g., Parcel Post, assumed 0.1 kg CO2e/delivery): 0.1 kg CO2e</w:t>
      </w:r>
    </w:p>
    <w:p>
      <w:pPr>
        <w:pStyle w:val="BodyText"/>
      </w:pPr>
      <w:r>
        <w:rPr>
          <w:bCs/>
          <w:b/>
        </w:rPr>
        <w:t xml:space="preserve">Total Transport &amp; Distribution Emissions (Illustrative): 0.045 + 0.0675 + 0.1 = 0.21 kg CO2e/unit</w:t>
      </w:r>
    </w:p>
    <w:bookmarkEnd w:id="37"/>
    <w:bookmarkStart w:id="38" w:name="product-use-phase-emissions-scope-3"/>
    <w:p>
      <w:pPr>
        <w:pStyle w:val="Heading3"/>
      </w:pPr>
      <w:r>
        <w:t xml:space="preserve">4.4. Product Use Phase Emissions (Scope 3)</w:t>
      </w:r>
    </w:p>
    <w:p>
      <w:pPr>
        <w:pStyle w:val="FirstParagraph"/>
      </w:pPr>
      <w:r>
        <w:t xml:space="preserve">Utilizing durability and consumption data:</w:t>
      </w:r>
    </w:p>
    <w:p>
      <w:pPr>
        <w:numPr>
          <w:ilvl w:val="0"/>
          <w:numId w:val="1009"/>
        </w:numPr>
        <w:pStyle w:val="Compact"/>
      </w:pPr>
      <w:r>
        <w:rPr>
          <w:bCs/>
          <w:b/>
        </w:rPr>
        <w:t xml:space="preserve">Product Lifespan:</w:t>
      </w:r>
      <w:r>
        <w:t xml:space="preserve"> </w:t>
      </w:r>
      <w:r>
        <w:t xml:space="preserve">dsooqtmegu (e.g., 5 years).</w:t>
      </w:r>
    </w:p>
    <w:p>
      <w:pPr>
        <w:numPr>
          <w:ilvl w:val="0"/>
          <w:numId w:val="1009"/>
        </w:numPr>
        <w:pStyle w:val="Compact"/>
      </w:pPr>
      <w:r>
        <w:rPr>
          <w:bCs/>
          <w:b/>
        </w:rPr>
        <w:t xml:space="preserve">Energy Consumption in Use:</w:t>
      </w:r>
      <w:r>
        <w:t xml:space="preserve"> </w:t>
      </w:r>
      <w:r>
        <w:t xml:space="preserve">nmnmhtjzft (e.g., 10 kWh/year).</w:t>
      </w:r>
    </w:p>
    <w:p>
      <w:pPr>
        <w:pStyle w:val="FirstParagraph"/>
      </w:pPr>
      <w:r>
        <w:t xml:space="preserve">Assume an average global grid mix emission factor for the use phase of 0.5 kg CO2e/kWh.</w:t>
      </w:r>
    </w:p>
    <w:p>
      <w:pPr>
        <w:pStyle w:val="BodyText"/>
      </w:pPr>
      <w:r>
        <w:rPr>
          <w:iCs/>
          <w:i/>
        </w:rPr>
        <w:t xml:space="preserve">Calculation:</w:t>
      </w:r>
      <w:r>
        <w:br/>
      </w:r>
      <w:r>
        <w:t xml:space="preserve">Total Energy Consumption: 10 kWh/year * 5 years = 50 kWh</w:t>
      </w:r>
      <w:r>
        <w:br/>
      </w:r>
      <w:r>
        <w:t xml:space="preserve">Use Phase Emissions: 50 kWh * 0.5 kg CO2e/kWh = 25.0 kg CO2e/unit</w:t>
      </w:r>
    </w:p>
    <w:p>
      <w:pPr>
        <w:pStyle w:val="BodyText"/>
      </w:pPr>
      <w:r>
        <w:rPr>
          <w:bCs/>
          <w:b/>
        </w:rPr>
        <w:t xml:space="preserve">Total Use Phase Emissions (Illustrative): 25.0 kg CO2e/unit</w:t>
      </w:r>
    </w:p>
    <w:bookmarkEnd w:id="38"/>
    <w:bookmarkStart w:id="39" w:name="end-of-life-eol-emissions-scope-3"/>
    <w:p>
      <w:pPr>
        <w:pStyle w:val="Heading3"/>
      </w:pPr>
      <w:r>
        <w:t xml:space="preserve">4.5. End-of-Life (EoL) Emissions (Scope 3)</w:t>
      </w:r>
    </w:p>
    <w:p>
      <w:pPr>
        <w:pStyle w:val="FirstParagraph"/>
      </w:pPr>
      <w:r>
        <w:t xml:space="preserve">Considering recyclability and circular programs:</w:t>
      </w:r>
    </w:p>
    <w:p>
      <w:pPr>
        <w:numPr>
          <w:ilvl w:val="0"/>
          <w:numId w:val="1010"/>
        </w:numPr>
        <w:pStyle w:val="Compact"/>
      </w:pPr>
      <w:r>
        <w:rPr>
          <w:bCs/>
          <w:b/>
        </w:rPr>
        <w:t xml:space="preserve">Recyclability Percentage:</w:t>
      </w:r>
      <w:r>
        <w:t xml:space="preserve"> </w:t>
      </w:r>
      <w:r>
        <w:t xml:space="preserve">rjlxjflglt (e.g., 85%).</w:t>
      </w:r>
    </w:p>
    <w:p>
      <w:pPr>
        <w:numPr>
          <w:ilvl w:val="0"/>
          <w:numId w:val="1010"/>
        </w:numPr>
        <w:pStyle w:val="Compact"/>
      </w:pPr>
      <w:r>
        <w:rPr>
          <w:bCs/>
          <w:b/>
        </w:rPr>
        <w:t xml:space="preserve">Circular/Take-back Programs:</w:t>
      </w:r>
      <w:r>
        <w:t xml:space="preserve"> </w:t>
      </w:r>
      <w:r>
        <w:t xml:space="preserve">gvelxjlxyt (e.g., take-back yields 20% reuse).</w:t>
      </w:r>
    </w:p>
    <w:p>
      <w:pPr>
        <w:pStyle w:val="FirstParagraph"/>
      </w:pPr>
      <w:r>
        <w:rPr>
          <w:iCs/>
          <w:i/>
        </w:rPr>
        <w:t xml:space="preserve">Illustrative Calculation:</w:t>
      </w:r>
      <w:r>
        <w:br/>
      </w:r>
      <w:r>
        <w:t xml:space="preserve">Assume product weight for EoL: 1.5 kg (from above)</w:t>
      </w:r>
      <w:r>
        <w:br/>
      </w:r>
      <w:r>
        <w:t xml:space="preserve">Landfill Emission Factor: 0.2 kg CO2e/kg (for remaining 15% non-recycled/reused)</w:t>
      </w:r>
      <w:r>
        <w:br/>
      </w:r>
      <w:r>
        <w:t xml:space="preserve">Recycling Benefit (Avoided Emissions): -0.5 kg CO2e/kg (for 85% recycled content)</w:t>
      </w:r>
      <w:r>
        <w:br/>
      </w:r>
      <w:r>
        <w:t xml:space="preserve">Reuse Benefit: -0.8 kg CO2e/kg (for 20% potentially reused components, impacting the net)</w:t>
      </w:r>
      <w:r>
        <w:br/>
      </w:r>
    </w:p>
    <w:p>
      <w:pPr>
        <w:pStyle w:val="BodyText"/>
      </w:pPr>
      <w:r>
        <w:t xml:space="preserve">Net EoL calculation is complex, involving emissions from disposal and credits from recycling/reuse. For simplicity here, we illustrate a net impact:</w:t>
      </w:r>
    </w:p>
    <w:p>
      <w:pPr>
        <w:pStyle w:val="BodyText"/>
      </w:pPr>
      <w:r>
        <w:t xml:space="preserve">Disposal (15%): 1.5 kg * 0.15 * 0.2 kg CO2e/kg = 0.045 kg CO2e</w:t>
      </w:r>
      <w:r>
        <w:br/>
      </w:r>
      <w:r>
        <w:t xml:space="preserve">Recycling Credit (85%): 1.5 kg * 0.85 * -0.5 kg CO2e/kg = -0.6375 kg CO2e</w:t>
      </w:r>
      <w:r>
        <w:br/>
      </w:r>
      <w:r>
        <w:t xml:space="preserve">(Take-back/Reuse programs would further reduce this, assuming it replaces new production)</w:t>
      </w:r>
    </w:p>
    <w:p>
      <w:pPr>
        <w:pStyle w:val="BodyText"/>
      </w:pPr>
      <w:r>
        <w:rPr>
          <w:bCs/>
          <w:b/>
        </w:rPr>
        <w:t xml:space="preserve">Total End-of-Life Emissions (Illustrative Net): -0.59 kg CO2e/unit</w:t>
      </w:r>
      <w:r>
        <w:t xml:space="preserve"> </w:t>
      </w:r>
      <w:r>
        <w:t xml:space="preserve">(Negative value indicates a net carbon removal or avoided emissions)</w:t>
      </w:r>
    </w:p>
    <w:bookmarkEnd w:id="39"/>
    <w:bookmarkStart w:id="40" w:name="X9b8f96e5fd6ec30b02c91cc11d45f1568d9808c"/>
    <w:p>
      <w:pPr>
        <w:pStyle w:val="Heading3"/>
      </w:pPr>
      <w:r>
        <w:t xml:space="preserve">4.6. Summary of Emissions by Scope and Lifecycle Stage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Illustrative Emissions (kg CO2e/unit)</w:t>
            </w:r>
          </w:p>
        </w:tc>
      </w:tr>
      <w:tr>
        <w:tc>
          <w:tcPr/>
          <w:p>
            <w:pPr>
              <w:pStyle w:val="Compact"/>
              <w:jc w:val="left"/>
            </w:pPr>
            <w:r>
              <w:t xml:space="preserve">Material Acquisition &amp; Processing</w:t>
            </w:r>
          </w:p>
        </w:tc>
        <w:tc>
          <w:tcPr/>
          <w:p>
            <w:pPr>
              <w:pStyle w:val="Compact"/>
              <w:jc w:val="left"/>
            </w:pPr>
            <w:r>
              <w:t xml:space="preserve">Scope 3 (Upstream)</w:t>
            </w:r>
          </w:p>
        </w:tc>
        <w:tc>
          <w:tcPr/>
          <w:p>
            <w:pPr>
              <w:pStyle w:val="Compact"/>
              <w:jc w:val="left"/>
            </w:pPr>
            <w:r>
              <w:t xml:space="preserve">14.09</w:t>
            </w:r>
          </w:p>
        </w:tc>
      </w:tr>
      <w:tr>
        <w:tc>
          <w:tcPr>
            <w:vMerge w:val="restart"/>
          </w:tcPr>
          <w:p>
            <w:pPr>
              <w:pStyle w:val="Compact"/>
              <w:jc w:val="left"/>
            </w:pPr>
            <w:r>
              <w:t xml:space="preserve">Manufacturing</w:t>
            </w:r>
          </w:p>
        </w:tc>
        <w:tc>
          <w:tcPr/>
          <w:p>
            <w:pPr>
              <w:pStyle w:val="Compact"/>
              <w:jc w:val="left"/>
            </w:pPr>
            <w:r>
              <w:t xml:space="preserve">Scope 1 (Direct)</w:t>
            </w:r>
          </w:p>
        </w:tc>
        <w:tc>
          <w:tcPr/>
          <w:p>
            <w:pPr>
              <w:pStyle w:val="Compact"/>
              <w:jc w:val="left"/>
            </w:pPr>
            <w:r>
              <w:t xml:space="preserve">0.50</w:t>
            </w:r>
          </w:p>
        </w:tc>
      </w:tr>
      <w:tr>
        <w:tc>
          <w:tcPr>
            <w:gridSpan w:val="1"/>
            <w:vMerge w:val="continue"/>
          </w:tcPr>
          <w:p>
            <w:pPr/>
          </w:p>
        </w:tc>
        <w:tc>
          <w:tcPr/>
          <w:p>
            <w:pPr>
              <w:pStyle w:val="Compact"/>
              <w:jc w:val="left"/>
            </w:pPr>
            <w:r>
              <w:t xml:space="preserve">Scope 2 (Energy)</w:t>
            </w:r>
          </w:p>
        </w:tc>
        <w:tc>
          <w:tcPr/>
          <w:p>
            <w:pPr>
              <w:pStyle w:val="Compact"/>
              <w:jc w:val="left"/>
            </w:pPr>
            <w:r>
              <w:t xml:space="preserve">1.35</w:t>
            </w:r>
          </w:p>
        </w:tc>
      </w:tr>
      <w:tr>
        <w:tc>
          <w:tcPr/>
          <w:p>
            <w:pPr>
              <w:pStyle w:val="Compact"/>
              <w:jc w:val="left"/>
            </w:pPr>
            <w:r>
              <w:t xml:space="preserve">Transport &amp; Distribution</w:t>
            </w:r>
          </w:p>
        </w:tc>
        <w:tc>
          <w:tcPr/>
          <w:p>
            <w:pPr>
              <w:pStyle w:val="Compact"/>
              <w:jc w:val="left"/>
            </w:pPr>
            <w:r>
              <w:t xml:space="preserve">Scope 3 (Upstream &amp; Downstream)</w:t>
            </w:r>
          </w:p>
        </w:tc>
        <w:tc>
          <w:tcPr/>
          <w:p>
            <w:pPr>
              <w:pStyle w:val="Compact"/>
              <w:jc w:val="left"/>
            </w:pPr>
            <w:r>
              <w:t xml:space="preserve">0.21</w:t>
            </w:r>
          </w:p>
        </w:tc>
      </w:tr>
      <w:tr>
        <w:tc>
          <w:tcPr/>
          <w:p>
            <w:pPr>
              <w:pStyle w:val="Compact"/>
              <w:jc w:val="left"/>
            </w:pPr>
            <w:r>
              <w:t xml:space="preserve">Product Use Phase</w:t>
            </w:r>
          </w:p>
        </w:tc>
        <w:tc>
          <w:tcPr/>
          <w:p>
            <w:pPr>
              <w:pStyle w:val="Compact"/>
              <w:jc w:val="left"/>
            </w:pPr>
            <w:r>
              <w:t xml:space="preserve">Scope 3 (Downstream)</w:t>
            </w:r>
          </w:p>
        </w:tc>
        <w:tc>
          <w:tcPr/>
          <w:p>
            <w:pPr>
              <w:pStyle w:val="Compact"/>
              <w:jc w:val="left"/>
            </w:pPr>
            <w:r>
              <w:t xml:space="preserve">25.00</w:t>
            </w:r>
          </w:p>
        </w:tc>
      </w:tr>
      <w:tr>
        <w:tc>
          <w:tcPr/>
          <w:p>
            <w:pPr>
              <w:pStyle w:val="Compact"/>
              <w:jc w:val="left"/>
            </w:pPr>
            <w:r>
              <w:t xml:space="preserve">End-of-Life Treatment</w:t>
            </w:r>
          </w:p>
        </w:tc>
        <w:tc>
          <w:tcPr/>
          <w:p>
            <w:pPr>
              <w:pStyle w:val="Compact"/>
              <w:jc w:val="left"/>
            </w:pPr>
            <w:r>
              <w:t xml:space="preserve">Scope 3 (Downstream)</w:t>
            </w:r>
          </w:p>
        </w:tc>
        <w:tc>
          <w:tcPr/>
          <w:p>
            <w:pPr>
              <w:pStyle w:val="Compact"/>
              <w:jc w:val="left"/>
            </w:pPr>
            <w:r>
              <w:t xml:space="preserve">-0.59</w:t>
            </w:r>
          </w:p>
        </w:tc>
      </w:tr>
      <w:tr>
        <w:tc>
          <w:tcPr>
            <w:gridSpan w:val="2"/>
          </w:tcPr>
          <w:p>
            <w:pPr>
              <w:pStyle w:val="Compact"/>
              <w:jc w:val="right"/>
            </w:pPr>
            <w:r>
              <w:rPr>
                <w:bCs/>
                <w:b/>
              </w:rPr>
              <w:t xml:space="preserve">TOTAL PRODUCT CARBON FOOTPRINT:</w:t>
            </w:r>
          </w:p>
        </w:tc>
        <w:tc>
          <w:tcPr/>
          <w:p>
            <w:pPr>
              <w:pStyle w:val="Compact"/>
              <w:jc w:val="left"/>
            </w:pPr>
            <w:r>
              <w:rPr>
                <w:bCs/>
                <w:b/>
              </w:rPr>
              <w:t xml:space="preserve">40.06 kg CO2e/unit</w:t>
            </w:r>
          </w:p>
        </w:tc>
      </w:tr>
    </w:tbl>
    <w:p>
      <w:r>
        <w:pict>
          <v:rect style="width:0;height:1.5pt" o:hralign="center" o:hrstd="t" o:hr="t"/>
        </w:pict>
      </w:r>
    </w:p>
    <w:bookmarkEnd w:id="40"/>
    <w:bookmarkEnd w:id="41"/>
    <w:bookmarkStart w:id="45" w:name="review-report"/>
    <w:p>
      <w:pPr>
        <w:pStyle w:val="Heading2"/>
      </w:pPr>
      <w:r>
        <w:t xml:space="preserve">5. Review &amp; Report</w:t>
      </w:r>
    </w:p>
    <w:bookmarkStart w:id="42" w:name="emission-hotspots"/>
    <w:p>
      <w:pPr>
        <w:pStyle w:val="Heading3"/>
      </w:pPr>
      <w:r>
        <w:t xml:space="preserve">5.1. Emission Hotspots</w:t>
      </w:r>
    </w:p>
    <w:p>
      <w:pPr>
        <w:pStyle w:val="FirstParagraph"/>
      </w:pPr>
      <w:r>
        <w:t xml:space="preserve">Based on the illustrative calculations, the primary emission hotspots for vzvfiwyplt are:</w:t>
      </w:r>
    </w:p>
    <w:p>
      <w:pPr>
        <w:numPr>
          <w:ilvl w:val="0"/>
          <w:numId w:val="1011"/>
        </w:numPr>
        <w:pStyle w:val="Compact"/>
      </w:pPr>
      <w:r>
        <w:rPr>
          <w:bCs/>
          <w:b/>
        </w:rPr>
        <w:t xml:space="preserve">Product Use Phase:</w:t>
      </w:r>
      <w:r>
        <w:t xml:space="preserve"> </w:t>
      </w:r>
      <w:r>
        <w:t xml:space="preserve">Dominates the footprint, accounting for approximately 62% of the total emissions. This highlights the significant impact of the product\'s operational energy consumption over its lifespan.</w:t>
      </w:r>
    </w:p>
    <w:p>
      <w:pPr>
        <w:numPr>
          <w:ilvl w:val="0"/>
          <w:numId w:val="1011"/>
        </w:numPr>
        <w:pStyle w:val="Compact"/>
      </w:pPr>
      <w:r>
        <w:rPr>
          <w:bCs/>
          <w:b/>
        </w:rPr>
        <w:t xml:space="preserve">Material Acquisition &amp; Processing:</w:t>
      </w:r>
      <w:r>
        <w:t xml:space="preserve"> </w:t>
      </w:r>
      <w:r>
        <w:t xml:space="preserve">Constitutes about 35% of the footprint, driven by energy-intensive materials like Aluminum and specialized electronic components.</w:t>
      </w:r>
    </w:p>
    <w:p>
      <w:pPr>
        <w:numPr>
          <w:ilvl w:val="0"/>
          <w:numId w:val="1011"/>
        </w:numPr>
        <w:pStyle w:val="Compact"/>
      </w:pPr>
      <w:r>
        <w:rPr>
          <w:bCs/>
          <w:b/>
        </w:rPr>
        <w:t xml:space="preserve">Manufacturing (Scope 1 &amp; 2):</w:t>
      </w:r>
      <w:r>
        <w:t xml:space="preserve"> </w:t>
      </w:r>
      <w:r>
        <w:t xml:space="preserve">A smaller but significant contributor, totaling about 4.6%.</w:t>
      </w:r>
    </w:p>
    <w:p>
      <w:pPr>
        <w:numPr>
          <w:ilvl w:val="0"/>
          <w:numId w:val="1011"/>
        </w:numPr>
        <w:pStyle w:val="Compact"/>
      </w:pPr>
      <w:r>
        <w:rPr>
          <w:bCs/>
          <w:b/>
        </w:rPr>
        <w:t xml:space="preserve">Transport &amp; Distribution:</w:t>
      </w:r>
      <w:r>
        <w:t xml:space="preserve"> </w:t>
      </w:r>
      <w:r>
        <w:t xml:space="preserve">Represents a minor portion (0.5%), though crucial for a full lifecycle view.</w:t>
      </w:r>
    </w:p>
    <w:p>
      <w:pPr>
        <w:numPr>
          <w:ilvl w:val="0"/>
          <w:numId w:val="1011"/>
        </w:numPr>
        <w:pStyle w:val="Compact"/>
      </w:pPr>
      <w:r>
        <w:rPr>
          <w:bCs/>
          <w:b/>
        </w:rPr>
        <w:t xml:space="preserve">End-of-Life:</w:t>
      </w:r>
      <w:r>
        <w:t xml:space="preserve"> </w:t>
      </w:r>
      <w:r>
        <w:t xml:space="preserve">Shows a net avoided emission, demonstrating the positive impact of recycling and circular economy initiatives.</w:t>
      </w:r>
    </w:p>
    <w:bookmarkEnd w:id="42"/>
    <w:bookmarkStart w:id="43" w:name="reliability-and-limitations"/>
    <w:p>
      <w:pPr>
        <w:pStyle w:val="Heading3"/>
      </w:pPr>
      <w:r>
        <w:t xml:space="preserve">5.2. Reliability and Limitations</w:t>
      </w:r>
    </w:p>
    <w:p>
      <w:pPr>
        <w:pStyle w:val="FirstParagraph"/>
      </w:pPr>
      <w:r>
        <w:t xml:space="preserve">The reliability of this PCF is contingent upon the accuracy and completeness of the input data.</w:t>
      </w:r>
    </w:p>
    <w:p>
      <w:pPr>
        <w:numPr>
          <w:ilvl w:val="0"/>
          <w:numId w:val="1012"/>
        </w:numPr>
        <w:pStyle w:val="Compact"/>
      </w:pPr>
      <w:r>
        <w:rPr>
          <w:bCs/>
          <w:b/>
        </w:rPr>
        <w:t xml:space="preserve">Data Specificity:</w:t>
      </w:r>
      <w:r>
        <w:t xml:space="preserve"> </w:t>
      </w:r>
      <w:r>
        <w:t xml:space="preserve">The analysis leverages detailed BOM data and specific parameters for transport, energy, and EoL, enhancing accuracy.</w:t>
      </w:r>
    </w:p>
    <w:p>
      <w:pPr>
        <w:numPr>
          <w:ilvl w:val="0"/>
          <w:numId w:val="1012"/>
        </w:numPr>
        <w:pStyle w:val="Compact"/>
      </w:pPr>
      <w:r>
        <w:rPr>
          <w:bCs/>
          <w:b/>
        </w:rPr>
        <w:t xml:space="preserve">Emission Factors:</w:t>
      </w:r>
      <w:r>
        <w:t xml:space="preserve"> </w:t>
      </w:r>
      <w:r>
        <w:t xml:space="preserve">While industry-standard factors are used, variations can exist across different databases and regional contexts.</w:t>
      </w:r>
    </w:p>
    <w:p>
      <w:pPr>
        <w:numPr>
          <w:ilvl w:val="0"/>
          <w:numId w:val="1012"/>
        </w:numPr>
        <w:pStyle w:val="Compact"/>
      </w:pPr>
      <w:r>
        <w:rPr>
          <w:bCs/>
          <w:b/>
        </w:rPr>
        <w:t xml:space="preserve">Placeholder Values:</w:t>
      </w:r>
      <w:r>
        <w:t xml:space="preserve"> </w:t>
      </w:r>
      <w:r>
        <w:t xml:space="preserve">Where specific numerical data was not provided for parameters like transport distance, energy usage, and EoL percentages, illustrative placeholder values were used. In a live assessment, these would be populated with company-specific primary data for optimal accuracy.</w:t>
      </w:r>
    </w:p>
    <w:p>
      <w:pPr>
        <w:numPr>
          <w:ilvl w:val="0"/>
          <w:numId w:val="1012"/>
        </w:numPr>
        <w:pStyle w:val="Compact"/>
      </w:pPr>
      <w:r>
        <w:rPr>
          <w:bCs/>
          <w:b/>
        </w:rPr>
        <w:t xml:space="preserve">System Boundary:</w:t>
      </w:r>
      <w:r>
        <w:t xml:space="preserve"> </w:t>
      </w:r>
      <w:r>
        <w:t xml:space="preserve">The \'factory_gate\' boundary for primary assessment means downstream emissions are presented as part of the full lifecycle but not necessarily as part of the initial core boundary sum. The full \'cradle-to-grave\' perspective is applied for comprehensive Scope 3 coverage.</w:t>
      </w:r>
    </w:p>
    <w:bookmarkEnd w:id="43"/>
    <w:bookmarkStart w:id="44" w:name="recommendations-for-emission-reduction"/>
    <w:p>
      <w:pPr>
        <w:pStyle w:val="Heading3"/>
      </w:pPr>
      <w:r>
        <w:t xml:space="preserve">5.3. Recommendations for Emission Reduction</w:t>
      </w:r>
    </w:p>
    <w:p>
      <w:pPr>
        <w:numPr>
          <w:ilvl w:val="0"/>
          <w:numId w:val="1013"/>
        </w:numPr>
        <w:pStyle w:val="Compact"/>
      </w:pPr>
      <w:r>
        <w:rPr>
          <w:bCs/>
          <w:b/>
        </w:rPr>
        <w:t xml:space="preserve">Optimise Use Phase:</w:t>
      </w:r>
      <w:r>
        <w:t xml:space="preserve"> </w:t>
      </w:r>
      <w:r>
        <w:t xml:space="preserve">Focus on improving energy efficiency of vzvfiwyplt during its operational life. This could include exploring lower power consumption components, software optimizations, or offering green energy tariffs to customers.</w:t>
      </w:r>
    </w:p>
    <w:p>
      <w:pPr>
        <w:numPr>
          <w:ilvl w:val="0"/>
          <w:numId w:val="1013"/>
        </w:numPr>
        <w:pStyle w:val="Compact"/>
      </w:pPr>
      <w:r>
        <w:rPr>
          <w:bCs/>
          <w:b/>
        </w:rPr>
        <w:t xml:space="preserve">Material Decarbonisation:</w:t>
      </w:r>
      <w:r>
        <w:t xml:space="preserve"> </w:t>
      </w:r>
      <w:r>
        <w:t xml:space="preserve">Engage with suppliers to source lower-carbon intensity materials or explore design changes to reduce reliance on high-impact components. Investigate the feasibility of recycled content for Aluminum and plastics.</w:t>
      </w:r>
    </w:p>
    <w:p>
      <w:pPr>
        <w:numPr>
          <w:ilvl w:val="0"/>
          <w:numId w:val="1013"/>
        </w:numPr>
        <w:pStyle w:val="Compact"/>
      </w:pPr>
      <w:r>
        <w:rPr>
          <w:bCs/>
          <w:b/>
        </w:rPr>
        <w:t xml:space="preserve">Circular Economy Expansion:</w:t>
      </w:r>
      <w:r>
        <w:t xml:space="preserve"> </w:t>
      </w:r>
      <w:r>
        <w:t xml:space="preserve">Strengthen and expand circular/take-back programs (gvelxjlxyt) to maximize reuse and recycling, further increasing avoided emissions at End-of-Life. Explore product-as-a-service models.</w:t>
      </w:r>
    </w:p>
    <w:p>
      <w:pPr>
        <w:numPr>
          <w:ilvl w:val="0"/>
          <w:numId w:val="1013"/>
        </w:numPr>
        <w:pStyle w:val="Compact"/>
      </w:pPr>
      <w:r>
        <w:rPr>
          <w:bCs/>
          <w:b/>
        </w:rPr>
        <w:t xml:space="preserve">Manufacturing Energy Transition:</w:t>
      </w:r>
      <w:r>
        <w:t xml:space="preserve"> </w:t>
      </w:r>
      <w:r>
        <w:t xml:space="preserve">Continue to increase the share of renewable energy (fzofmzxjxx) in manufacturing operations to further reduce Scope 2 emissions.</w:t>
      </w:r>
    </w:p>
    <w:p>
      <w:pPr>
        <w:numPr>
          <w:ilvl w:val="0"/>
          <w:numId w:val="1013"/>
        </w:numPr>
        <w:pStyle w:val="Compact"/>
      </w:pPr>
      <w:r>
        <w:rPr>
          <w:bCs/>
          <w:b/>
        </w:rPr>
        <w:t xml:space="preserve">Supply Chain Optimization:</w:t>
      </w:r>
      <w:r>
        <w:t xml:space="preserve"> </w:t>
      </w:r>
      <w:r>
        <w:t xml:space="preserve">While transport is a smaller hotspot, continuous optimization of logistics, including mode selection (Select Mode) and route efficiency (gxkkmijwvx), can yield further reductions.</w:t>
      </w:r>
    </w:p>
    <w:p>
      <w:r>
        <w:pict>
          <v:rect style="width:0;height:1.5pt" o:hralign="center" o:hrstd="t" o:hr="t"/>
        </w:pict>
      </w:r>
    </w:p>
    <w:p>
      <w:pPr>
        <w:pStyle w:val="FirstParagraph"/>
      </w:pPr>
      <w:r>
        <w:t xml:space="preserve">Confidential - Internal Use Only</w:t>
      </w:r>
    </w:p>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vzvfiwyplt</dc:title>
  <dc:creator/>
  <dc:description>Detailed Product Carbon Footprint (PCF) analysis for product vzvfiwyplt by nsgqgjtivy, adhering to GHG Protocol standards and 2026 LSR updates.</dc:description>
  <dc:language>en</dc:language>
  <cp:keywords/>
  <dcterms:created xsi:type="dcterms:W3CDTF">2026-07-15T06:21:51Z</dcterms:created>
  <dcterms:modified xsi:type="dcterms:W3CDTF">2026-07-15T06:21:51Z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