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vyynrzgmgf</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vyynrzgmgf"/>
    <w:p>
      <w:pPr>
        <w:pStyle w:val="Heading2"/>
      </w:pPr>
      <w:r>
        <w:t xml:space="preserve">Product: vyynrzgmgf</w:t>
      </w:r>
    </w:p>
    <w:p>
      <w:pPr>
        <w:pStyle w:val="FirstParagraph"/>
      </w:pPr>
      <w:r>
        <w:t xml:space="preserve">**Protocol Data (Accounting Standard):** GHG Protocol</w:t>
      </w:r>
    </w:p>
    <w:p>
      <w:pPr>
        <w:pStyle w:val="BodyText"/>
      </w:pPr>
      <w:r>
        <w:t xml:space="preserve">**Name of the Company:** roqsonlmpr</w:t>
      </w:r>
    </w:p>
    <w:p>
      <w:pPr>
        <w:pStyle w:val="BodyText"/>
      </w:pPr>
      <w:r>
        <w:t xml:space="preserve">**Senior Sustainability Consultant:** rvjgyxhqpm</w:t>
      </w:r>
    </w:p>
    <w:p>
      <w:pPr>
        <w:pStyle w:val="BodyText"/>
      </w:pPr>
      <w:r>
        <w:t xml:space="preserve">*Disclaimer: This report is generated based on available data and industry standards. Calculations for placeholder values utilize illustrative emission factors and assumptions, which may not reflect real-world specific data for roqsonlmpr. A precise assessment requires specific primary data for all parameters.*</w:t>
      </w:r>
    </w:p>
    <w:bookmarkEnd w:id="20"/>
    <w:bookmarkEnd w:id="21"/>
    <w:bookmarkStart w:id="46" w:name="Xbf627181f0572c4fbf47ed76a0c494a7ff169a9"/>
    <w:p>
      <w:pPr>
        <w:pStyle w:val="Heading1"/>
      </w:pPr>
      <w:r>
        <w:t xml:space="preserve">Product Carbon Footprint Analysis Report for vyynrzgmgf</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rvjgyxhqpm</w:t>
      </w:r>
    </w:p>
    <w:p>
      <w:pPr>
        <w:pStyle w:val="BodyText"/>
      </w:pPr>
      <w:r>
        <w:rPr>
          <w:bCs/>
          <w:b/>
        </w:rPr>
        <w:t xml:space="preserve">Company:</w:t>
      </w:r>
      <w:r>
        <w:t xml:space="preserve"> </w:t>
      </w:r>
      <w:r>
        <w:t xml:space="preserve">roqsonlmpr</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vyynrzgmgf</w:t>
      </w:r>
      <w:r>
        <w:t xml:space="preserve"> </w:t>
      </w:r>
      <w:r>
        <w:t xml:space="preserve">manufactured by</w:t>
      </w:r>
      <w:r>
        <w:t xml:space="preserve"> </w:t>
      </w:r>
      <w:r>
        <w:rPr>
          <w:bCs/>
          <w:b/>
        </w:rPr>
        <w:t xml:space="preserve">roqsonlmpr</w:t>
      </w:r>
      <w:r>
        <w:t xml:space="preserve">. The assessment adheres strictly to the GHG Protocol, including the latest 2026 Land Sector and Removals (LSR) Standard update, and aims for at least 95% coverage for Scope 3 emissions. The analysis follows a cradle-to-gate system boundary, with consideration for the use phase and end-of-life scenarios, providing a comprehensive understanding of the product\'s environmental impact in terms of greenhouse gas emissions (CO2e).</w:t>
      </w:r>
    </w:p>
    <w:p>
      <w:pPr>
        <w:pStyle w:val="BodyText"/>
      </w:pPr>
      <w:r>
        <w:t xml:space="preserve">The primary objective is to identify emissions hotspots across the product\'s lifecycle, from raw material acquisition and manufacturing to transportation, use, and end-of-life. By quantifying these emissions,</w:t>
      </w:r>
      <w:r>
        <w:t xml:space="preserve"> </w:t>
      </w:r>
      <w:r>
        <w:rPr>
          <w:bCs/>
          <w:b/>
        </w:rPr>
        <w:t xml:space="preserve">roqsonlmpr</w:t>
      </w:r>
      <w:r>
        <w:t xml:space="preserve"> </w:t>
      </w:r>
      <w:r>
        <w:t xml:space="preserve">can prioritize targeted reduction strategies and enhance its commitment to sustainability.</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first step in any robust PCF analysis is clearly defining the study\'s scope.</w:t>
      </w:r>
    </w:p>
    <w:p>
      <w:pPr>
        <w:numPr>
          <w:ilvl w:val="0"/>
          <w:numId w:val="1001"/>
        </w:numPr>
        <w:pStyle w:val="Compact"/>
      </w:pPr>
      <w:r>
        <w:rPr>
          <w:bCs/>
          <w:b/>
        </w:rPr>
        <w:t xml:space="preserve">Functional Unit:</w:t>
      </w:r>
      <w:r>
        <w:t xml:space="preserve"> </w:t>
      </w:r>
      <w:r>
        <w:t xml:space="preserve">The reference unit for this PCF is</w:t>
      </w:r>
      <w:r>
        <w:t xml:space="preserve"> </w:t>
      </w:r>
      <w:r>
        <w:rPr>
          <w:bCs/>
          <w:b/>
        </w:rPr>
        <w:t xml:space="preserve">1.0 unit</w:t>
      </w:r>
      <w:r>
        <w:t xml:space="preserve"> </w:t>
      </w:r>
      <w:r>
        <w:t xml:space="preserve">of vyynrzgmgf. All emissions are calculated relative to this functional unit.</w:t>
      </w:r>
    </w:p>
    <w:p>
      <w:pPr>
        <w:numPr>
          <w:ilvl w:val="0"/>
          <w:numId w:val="1001"/>
        </w:numPr>
        <w:pStyle w:val="Compact"/>
      </w:pPr>
      <w:r>
        <w:rPr>
          <w:bCs/>
          <w:b/>
        </w:rPr>
        <w:t xml:space="preserve">System Boundary:</w:t>
      </w:r>
      <w:r>
        <w:t xml:space="preserve"> </w:t>
      </w:r>
      <w:r>
        <w:t xml:space="preserve">The defined system boundary is</w:t>
      </w:r>
      <w:r>
        <w:t xml:space="preserve"> </w:t>
      </w:r>
      <w:r>
        <w:rPr>
          <w:bCs/>
          <w:b/>
        </w:rPr>
        <w:t xml:space="preserve">factory_gate</w:t>
      </w:r>
      <w:r>
        <w:t xml:space="preserve">, encompassing raw material extraction, pre-processing, manufacturing, and inbound logistics to the point the product leaves the factory. For a comprehensive view and to adhere to 2026 requirements, key downstream elements (transport, use, and end-of-life) are also explicitly included and categorized as Scope 3 emissions.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PCF is conducted in accordance with the</w:t>
      </w:r>
      <w:r>
        <w:t xml:space="preserve"> </w:t>
      </w:r>
      <w:r>
        <w:rPr>
          <w:bCs/>
          <w:b/>
        </w:rPr>
        <w:t xml:space="preserve">GHG Protocol</w:t>
      </w:r>
      <w:r>
        <w:t xml:space="preserve">, specifically the Product Life Cycle Accounting and Reporting Standard. Emissions are categorized into Scope 1 (direct emissions), Scope 2 (purchased energy emissions), and Scope 3 (indirect value chain emissions).</w:t>
      </w:r>
    </w:p>
    <w:p>
      <w:pPr>
        <w:numPr>
          <w:ilvl w:val="0"/>
          <w:numId w:val="1001"/>
        </w:numPr>
        <w:pStyle w:val="Compact"/>
      </w:pPr>
      <w:r>
        <w:rPr>
          <w:bCs/>
          <w:b/>
        </w:rPr>
        <w:t xml:space="preserve">Allocation:</w:t>
      </w:r>
      <w:r>
        <w:t xml:space="preserve"> </w:t>
      </w:r>
      <w:r>
        <w:t xml:space="preserve">Given the focus on a single product (vyynrzgmgf), specific allocation for co-products or by-products at the primary process level is assumed to be handled by the emission factors provided for materials, representing their cradle-to-gate impact.</w:t>
      </w:r>
    </w:p>
    <w:p>
      <w:r>
        <w:pict>
          <v:rect style="width:0;height:1.5pt" o:hralign="center" o:hrstd="t" o:hr="t"/>
        </w:pict>
      </w:r>
    </w:p>
    <w:bookmarkEnd w:id="23"/>
    <w:bookmarkStart w:id="26" w:name="lifecycle-mapping-lci-inventory-stages"/>
    <w:p>
      <w:pPr>
        <w:pStyle w:val="Heading2"/>
      </w:pPr>
      <w:r>
        <w:t xml:space="preserve">2. Lifecycle Mapping (LCI Inventory Stages)</w:t>
      </w:r>
    </w:p>
    <w:p>
      <w:pPr>
        <w:pStyle w:val="FirstParagraph"/>
      </w:pPr>
      <w:r>
        <w:t xml:space="preserve">The lifecycle of vyynrzgmgf is mapped into distinct stages to systematically identify and quantify all relevant inputs and outputs.</w:t>
      </w:r>
    </w:p>
    <w:bookmarkStart w:id="24" w:name="X375f90d34e2738bf774185f3c83efd090ce459a"/>
    <w:p>
      <w:pPr>
        <w:pStyle w:val="Heading3"/>
      </w:pPr>
      <w:r>
        <w:t xml:space="preserve">Detailed Breakdown of Materials and Energy Inputs:</w:t>
      </w:r>
    </w:p>
    <w:p>
      <w:pPr>
        <w:pStyle w:val="FirstParagraph"/>
      </w:pPr>
      <w:r>
        <w:t xml:space="preserve">The Bill of Materials (BOM) provides a high-accuracy basis for material impact calculation. For the purpose of this illustrative report, the placeholder `zoptfouj` is interpreted as a structured string representing multiple BOM items.</w:t>
      </w:r>
    </w:p>
    <w:p>
      <w:pPr>
        <w:pStyle w:val="BodyText"/>
      </w:pPr>
      <w:r>
        <w:rPr>
          <w:bCs/>
          <w:b/>
        </w:rPr>
        <w:t xml:space="preserve">Illustrative Detailed Bill of Materials (BOM) for vyynrzgmgf: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7.0</w:t>
            </w:r>
          </w:p>
        </w:tc>
        <w:tc>
          <w:tcPr/>
          <w:p>
            <w:pPr>
              <w:pStyle w:val="Compact"/>
              <w:jc w:val="left"/>
            </w:pPr>
            <w:r>
              <w:t xml:space="preserve">10.5</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Internal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Processing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0.6</w:t>
            </w:r>
          </w:p>
        </w:tc>
        <w:tc>
          <w:tcPr/>
          <w:p>
            <w:pPr>
              <w:pStyle w:val="Compact"/>
              <w:jc w:val="left"/>
            </w:pPr>
            <w:r>
              <w:t xml:space="preserve">0.18</w:t>
            </w:r>
          </w:p>
        </w:tc>
      </w:tr>
    </w:tbl>
    <w:p>
      <w:pPr>
        <w:pStyle w:val="BodyText"/>
      </w:pPr>
      <w:r>
        <w:t xml:space="preserve">*Note: The "Total Carbon" values in the BOM table are used directly for material impact calculations as provided in the parameter description for `zoptfouj`.</w:t>
      </w:r>
    </w:p>
    <w:bookmarkEnd w:id="24"/>
    <w:bookmarkStart w:id="25" w:name="lifecycle-stages-considered"/>
    <w:p>
      <w:pPr>
        <w:pStyle w:val="Heading3"/>
      </w:pPr>
      <w:r>
        <w:t xml:space="preserve">Lifecycle Stages Considered:</w:t>
      </w:r>
    </w:p>
    <w:p>
      <w:pPr>
        <w:numPr>
          <w:ilvl w:val="0"/>
          <w:numId w:val="1003"/>
        </w:numPr>
        <w:pStyle w:val="Compact"/>
      </w:pPr>
      <w:r>
        <w:rPr>
          <w:bCs/>
          <w:b/>
        </w:rPr>
        <w:t xml:space="preserve">Raw Material Acquisition &amp; Pre-processing (Upstream):</w:t>
      </w:r>
      <w:r>
        <w:t xml:space="preserve"> </w:t>
      </w:r>
      <w:r>
        <w:t xml:space="preserve">This stage includes the extraction, cultivation, and initial processing of all raw materials required for vyynrzgmgf, as detailed in the BOM. Emissions from these activities are categorized under Scope 3, Category 1 (Purchased goods and services).</w:t>
      </w:r>
    </w:p>
    <w:p>
      <w:pPr>
        <w:numPr>
          <w:ilvl w:val="0"/>
          <w:numId w:val="1003"/>
        </w:numPr>
        <w:pStyle w:val="Compact"/>
      </w:pPr>
      <w:r>
        <w:rPr>
          <w:bCs/>
          <w:b/>
        </w:rPr>
        <w:t xml:space="preserve">Manufacturing (Core Operations):</w:t>
      </w:r>
      <w:r>
        <w:t xml:space="preserve"> </w:t>
      </w:r>
      <w:r>
        <w:t xml:space="preserve">Covers the energy consumption and direct emissions from the fabrication, assembly, and finishing processes within roqsonlmpr\'s facilities in China. This includes Scope 1 (direct combustion, if any) and Scope 2 (purchased electricity).</w:t>
      </w:r>
    </w:p>
    <w:p>
      <w:pPr>
        <w:numPr>
          <w:ilvl w:val="0"/>
          <w:numId w:val="1003"/>
        </w:numPr>
        <w:pStyle w:val="Compact"/>
      </w:pPr>
      <w:r>
        <w:rPr>
          <w:bCs/>
          <w:b/>
        </w:rPr>
        <w:t xml:space="preserve">Transportation (Upstream &amp; Downstream):</w:t>
      </w:r>
    </w:p>
    <w:p>
      <w:pPr>
        <w:numPr>
          <w:ilvl w:val="1"/>
          <w:numId w:val="1004"/>
        </w:numPr>
        <w:pStyle w:val="Compact"/>
      </w:pPr>
      <w:r>
        <w:rPr>
          <w:bCs/>
          <w:b/>
        </w:rPr>
        <w:t xml:space="preserve">Upstream Logistics:</w:t>
      </w:r>
      <w:r>
        <w:t xml:space="preserve"> </w:t>
      </w:r>
      <w:r>
        <w:t xml:space="preserve">Transport of raw materials and components from suppliers (Europe-focused supply chain) to the manufacturing facility in China. Categorized under Scope 3, Category 4.</w:t>
      </w:r>
    </w:p>
    <w:p>
      <w:pPr>
        <w:numPr>
          <w:ilvl w:val="1"/>
          <w:numId w:val="1004"/>
        </w:numPr>
        <w:pStyle w:val="Compact"/>
      </w:pPr>
      <w:r>
        <w:rPr>
          <w:bCs/>
          <w:b/>
        </w:rPr>
        <w:t xml:space="preserve">Downstream Logistics:</w:t>
      </w:r>
      <w:r>
        <w:t xml:space="preserve"> </w:t>
      </w:r>
      <w:r>
        <w:t xml:space="preserve">Transport of the finished product from the factory gate to the customer, including last-mile delivery. Categorized under Scope 3, Category 8.</w:t>
      </w:r>
    </w:p>
    <w:p>
      <w:pPr>
        <w:numPr>
          <w:ilvl w:val="0"/>
          <w:numId w:val="1003"/>
        </w:numPr>
        <w:pStyle w:val="Compact"/>
      </w:pPr>
      <w:r>
        <w:rPr>
          <w:bCs/>
          <w:b/>
        </w:rPr>
        <w:t xml:space="preserve">Use Phase (Downstream):</w:t>
      </w:r>
      <w:r>
        <w:t xml:space="preserve"> </w:t>
      </w:r>
      <w:r>
        <w:t xml:space="preserve">Emissions associated with the product\'s operation and maintenance over its lifespan by the end-user. Categorized under Scope 3, Category 11.</w:t>
      </w:r>
    </w:p>
    <w:p>
      <w:pPr>
        <w:numPr>
          <w:ilvl w:val="0"/>
          <w:numId w:val="1003"/>
        </w:numPr>
        <w:pStyle w:val="Compact"/>
      </w:pPr>
      <w:r>
        <w:rPr>
          <w:bCs/>
          <w:b/>
        </w:rPr>
        <w:t xml:space="preserve">End-of-Life (Downstream):</w:t>
      </w:r>
      <w:r>
        <w:t xml:space="preserve"> </w:t>
      </w:r>
      <w:r>
        <w:t xml:space="preserve">Emissions and potential avoided emissions related to the disposal, recycling, or recovery of the product at the end of its useful life. Categorized under Scope 3, Category 12.</w:t>
      </w:r>
    </w:p>
    <w:p>
      <w:r>
        <w:pict>
          <v:rect style="width:0;height:1.5pt" o:hralign="center" o:hrstd="t" o:hr="t"/>
        </w:pict>
      </w:r>
    </w:p>
    <w:bookmarkEnd w:id="25"/>
    <w:bookmarkEnd w:id="26"/>
    <w:bookmarkStart w:id="27" w:name="data-collection"/>
    <w:p>
      <w:pPr>
        <w:pStyle w:val="Heading2"/>
      </w:pPr>
      <w:r>
        <w:t xml:space="preserve">3. Data Collection</w:t>
      </w:r>
    </w:p>
    <w:p>
      <w:pPr>
        <w:pStyle w:val="FirstParagraph"/>
      </w:pPr>
      <w:r>
        <w:t xml:space="preserve">Data for this PCF analysis is collected from a combination of primary (where available through parameters) and secondary sources (for illustrative emission factors).</w:t>
      </w:r>
    </w:p>
    <w:p>
      <w:pPr>
        <w:numPr>
          <w:ilvl w:val="0"/>
          <w:numId w:val="1005"/>
        </w:numPr>
        <w:pStyle w:val="Compact"/>
      </w:pPr>
      <w:r>
        <w:rPr>
          <w:bCs/>
          <w:b/>
        </w:rPr>
        <w:t xml:space="preserve">Primary Data Points (from Parameters):</w:t>
      </w:r>
    </w:p>
    <w:p>
      <w:pPr>
        <w:numPr>
          <w:ilvl w:val="1"/>
          <w:numId w:val="1006"/>
        </w:numPr>
        <w:pStyle w:val="Compact"/>
      </w:pPr>
      <w:r>
        <w:t xml:space="preserve">Detailed Bill of Materials (BOM):</w:t>
      </w:r>
      <w:r>
        <w:t xml:space="preserve"> </w:t>
      </w:r>
      <w:r>
        <w:rPr>
          <w:rStyle w:val="VerbatimChar"/>
        </w:rPr>
        <w:t xml:space="preserve">zoptfouj</w:t>
      </w:r>
      <w:r>
        <w:t xml:space="preserve"> </w:t>
      </w:r>
      <w:r>
        <w:t xml:space="preserve">(as interpreted for illustrative table above)</w:t>
      </w:r>
    </w:p>
    <w:p>
      <w:pPr>
        <w:numPr>
          <w:ilvl w:val="1"/>
          <w:numId w:val="1006"/>
        </w:numPr>
        <w:pStyle w:val="Compact"/>
      </w:pPr>
      <w:r>
        <w:t xml:space="preserve">Transport Mode:</w:t>
      </w:r>
      <w:r>
        <w:t xml:space="preserve"> </w:t>
      </w:r>
      <w:r>
        <w:rPr>
          <w:rStyle w:val="VerbatimChar"/>
        </w:rPr>
        <w:t xml:space="preserve">Select Mode</w:t>
      </w:r>
      <w:r>
        <w:t xml:space="preserve"> </w:t>
      </w:r>
      <w:r>
        <w:t xml:space="preserve">(assumed Truck, Heavy Goods Vehicle)</w:t>
      </w:r>
    </w:p>
    <w:p>
      <w:pPr>
        <w:numPr>
          <w:ilvl w:val="1"/>
          <w:numId w:val="1006"/>
        </w:numPr>
        <w:pStyle w:val="Compact"/>
      </w:pPr>
      <w:r>
        <w:t xml:space="preserve">Transport Distance:</w:t>
      </w:r>
      <w:r>
        <w:t xml:space="preserve"> </w:t>
      </w:r>
      <w:r>
        <w:rPr>
          <w:rStyle w:val="VerbatimChar"/>
        </w:rPr>
        <w:t xml:space="preserve">dnqvgkqgsi</w:t>
      </w:r>
      <w:r>
        <w:t xml:space="preserve"> </w:t>
      </w:r>
      <w:r>
        <w:t xml:space="preserve">(assumed 1500 km upstream, 500 km downstream)</w:t>
      </w:r>
    </w:p>
    <w:p>
      <w:pPr>
        <w:numPr>
          <w:ilvl w:val="1"/>
          <w:numId w:val="1006"/>
        </w:numPr>
        <w:pStyle w:val="Compact"/>
      </w:pPr>
      <w:r>
        <w:t xml:space="preserve">Last-Mile Delivery Channel:</w:t>
      </w:r>
      <w:r>
        <w:t xml:space="preserve"> </w:t>
      </w:r>
      <w:r>
        <w:rPr>
          <w:rStyle w:val="VerbatimChar"/>
        </w:rPr>
        <w:t xml:space="preserve">Delivery Type</w:t>
      </w:r>
      <w:r>
        <w:t xml:space="preserve"> </w:t>
      </w:r>
      <w:r>
        <w:t xml:space="preserve">(assumed Delivery Van)</w:t>
      </w:r>
    </w:p>
    <w:p>
      <w:pPr>
        <w:numPr>
          <w:ilvl w:val="1"/>
          <w:numId w:val="1006"/>
        </w:numPr>
        <w:pStyle w:val="Compact"/>
      </w:pPr>
      <w:r>
        <w:t xml:space="preserve">Renewable Energy Usage (Production):</w:t>
      </w:r>
      <w:r>
        <w:t xml:space="preserve"> </w:t>
      </w:r>
      <w:r>
        <w:rPr>
          <w:rStyle w:val="VerbatimChar"/>
        </w:rPr>
        <w:t xml:space="preserve">wursemfsqm</w:t>
      </w:r>
      <w:r>
        <w:t xml:space="preserve"> </w:t>
      </w:r>
      <w:r>
        <w:t xml:space="preserve">(assumed 50%)</w:t>
      </w:r>
    </w:p>
    <w:p>
      <w:pPr>
        <w:numPr>
          <w:ilvl w:val="1"/>
          <w:numId w:val="1006"/>
        </w:numPr>
        <w:pStyle w:val="Compact"/>
      </w:pPr>
      <w:r>
        <w:t xml:space="preserve">Energy Intensity (Production):</w:t>
      </w:r>
      <w:r>
        <w:t xml:space="preserve"> </w:t>
      </w:r>
      <w:r>
        <w:rPr>
          <w:rStyle w:val="VerbatimChar"/>
        </w:rPr>
        <w:t xml:space="preserve">mexdrkrdyz</w:t>
      </w:r>
      <w:r>
        <w:t xml:space="preserve"> </w:t>
      </w:r>
      <w:r>
        <w:t xml:space="preserve">(assumed 10 kWh/unit)</w:t>
      </w:r>
    </w:p>
    <w:p>
      <w:pPr>
        <w:numPr>
          <w:ilvl w:val="1"/>
          <w:numId w:val="1006"/>
        </w:numPr>
        <w:pStyle w:val="Compact"/>
      </w:pPr>
      <w:r>
        <w:t xml:space="preserve">Product Lifespan:</w:t>
      </w:r>
      <w:r>
        <w:t xml:space="preserve"> </w:t>
      </w:r>
      <w:r>
        <w:rPr>
          <w:rStyle w:val="VerbatimChar"/>
        </w:rPr>
        <w:t xml:space="preserve">owhxuefrke</w:t>
      </w:r>
      <w:r>
        <w:t xml:space="preserve"> </w:t>
      </w:r>
      <w:r>
        <w:t xml:space="preserve">(assumed 5 years)</w:t>
      </w:r>
    </w:p>
    <w:p>
      <w:pPr>
        <w:numPr>
          <w:ilvl w:val="1"/>
          <w:numId w:val="1006"/>
        </w:numPr>
        <w:pStyle w:val="Compact"/>
      </w:pPr>
      <w:r>
        <w:t xml:space="preserve">Energy Consumption in Use:</w:t>
      </w:r>
      <w:r>
        <w:t xml:space="preserve"> </w:t>
      </w:r>
      <w:r>
        <w:rPr>
          <w:rStyle w:val="VerbatimChar"/>
        </w:rPr>
        <w:t xml:space="preserve">ynknhrgfmv</w:t>
      </w:r>
      <w:r>
        <w:t xml:space="preserve"> </w:t>
      </w:r>
      <w:r>
        <w:t xml:space="preserve">(assumed 20 kWh/year)</w:t>
      </w:r>
    </w:p>
    <w:p>
      <w:pPr>
        <w:numPr>
          <w:ilvl w:val="1"/>
          <w:numId w:val="1006"/>
        </w:numPr>
        <w:pStyle w:val="Compact"/>
      </w:pPr>
      <w:r>
        <w:t xml:space="preserve">Recyclability Percentage:</w:t>
      </w:r>
      <w:r>
        <w:t xml:space="preserve"> </w:t>
      </w:r>
      <w:r>
        <w:rPr>
          <w:rStyle w:val="VerbatimChar"/>
        </w:rPr>
        <w:t xml:space="preserve">jizwpljmfz</w:t>
      </w:r>
      <w:r>
        <w:t xml:space="preserve"> </w:t>
      </w:r>
      <w:r>
        <w:t xml:space="preserve">(assumed 70%)</w:t>
      </w:r>
    </w:p>
    <w:p>
      <w:pPr>
        <w:numPr>
          <w:ilvl w:val="1"/>
          <w:numId w:val="1006"/>
        </w:numPr>
        <w:pStyle w:val="Compact"/>
      </w:pPr>
      <w:r>
        <w:t xml:space="preserve">Circular/Take-back Programs:</w:t>
      </w:r>
      <w:r>
        <w:t xml:space="preserve"> </w:t>
      </w:r>
      <w:r>
        <w:rPr>
          <w:rStyle w:val="VerbatimChar"/>
        </w:rPr>
        <w:t xml:space="preserve">mjdsnewlhl</w:t>
      </w:r>
      <w:r>
        <w:t xml:space="preserve"> </w:t>
      </w:r>
      <w:r>
        <w:t xml:space="preserve">(assumed "Yes, via certified recycling partners")</w:t>
      </w:r>
    </w:p>
    <w:p>
      <w:pPr>
        <w:numPr>
          <w:ilvl w:val="0"/>
          <w:numId w:val="1005"/>
        </w:numPr>
      </w:pPr>
      <w:r>
        <w:rPr>
          <w:bCs/>
          <w:b/>
        </w:rPr>
        <w:t xml:space="preserve">Secondary Data Points (Illustrative Emission Factors):</w:t>
      </w:r>
    </w:p>
    <w:p>
      <w:pPr>
        <w:numPr>
          <w:ilvl w:val="0"/>
          <w:numId w:val="1000"/>
        </w:numPr>
      </w:pPr>
      <w:r>
        <w:t xml:space="preserve">Industry-standard emission factors are crucial for quantifying emissions where primary data is unavailable. For this report, illustrative emission factors (EFs) are adopted from reputable sources like Ecoinvent/DEFRA for various activities, to demonstrate the calculation methodology.</w:t>
      </w:r>
    </w:p>
    <w:p>
      <w:pPr>
        <w:numPr>
          <w:ilvl w:val="1"/>
          <w:numId w:val="1007"/>
        </w:numPr>
        <w:pStyle w:val="Compact"/>
      </w:pPr>
      <w:r>
        <w:t xml:space="preserve">Grid Electricity (China, non-renewable portion): 0.7 kg CO2e/kWh (illustrative, varies by grid mix)</w:t>
      </w:r>
    </w:p>
    <w:p>
      <w:pPr>
        <w:numPr>
          <w:ilvl w:val="1"/>
          <w:numId w:val="1007"/>
        </w:numPr>
        <w:pStyle w:val="Compact"/>
      </w:pPr>
      <w:r>
        <w:t xml:space="preserve">Truck (Heavy Goods Vehicle): 0.08 kg CO2e/tonne-km</w:t>
      </w:r>
    </w:p>
    <w:p>
      <w:pPr>
        <w:numPr>
          <w:ilvl w:val="1"/>
          <w:numId w:val="1007"/>
        </w:numPr>
        <w:pStyle w:val="Compact"/>
      </w:pPr>
      <w:r>
        <w:t xml:space="preserve">Delivery Van (Last-Mile): 0.15 kg CO2e/tonne-km (illustrative, higher due to less efficient loads/routes)</w:t>
      </w:r>
    </w:p>
    <w:p>
      <w:pPr>
        <w:numPr>
          <w:ilvl w:val="1"/>
          <w:numId w:val="1007"/>
        </w:numPr>
        <w:pStyle w:val="Compact"/>
      </w:pPr>
      <w:r>
        <w:t xml:space="preserve">Waste to Landfill: 0.2 kg CO2e/kg (illustrative)</w:t>
      </w:r>
    </w:p>
    <w:p>
      <w:pPr>
        <w:numPr>
          <w:ilvl w:val="1"/>
          <w:numId w:val="1007"/>
        </w:numPr>
        <w:pStyle w:val="Compact"/>
      </w:pPr>
      <w:r>
        <w:t xml:space="preserve">Recycling Avoided Emissions: -0.5 kg CO2e/kg for recycled materials (illustrative, highly dependent on material type and specific recycling process).</w:t>
      </w:r>
    </w:p>
    <w:p>
      <w:r>
        <w:pict>
          <v:rect style="width:0;height:1.5pt" o:hralign="center" o:hrstd="t" o:hr="t"/>
        </w:pict>
      </w:r>
    </w:p>
    <w:bookmarkEnd w:id="27"/>
    <w:bookmarkStart w:id="42"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 lifecycle and categorized according to the GHG Protocol\'s Scope 1, 2, and 3 definitions. All calculations are illustrative, based on the assumed placeholder values and emission factors.</w:t>
      </w:r>
    </w:p>
    <w:bookmarkStart w:id="28" w:name="Xa5e05c0e793b2e3b8927cb1b228e81f97f2094b"/>
    <w:p>
      <w:pPr>
        <w:pStyle w:val="Heading3"/>
      </w:pPr>
      <w:r>
        <w:t xml:space="preserve">Scope 1 Emissions (Direct Emissions from Owned or Controlled Sources)</w:t>
      </w:r>
    </w:p>
    <w:p>
      <w:pPr>
        <w:pStyle w:val="FirstParagraph"/>
      </w:pPr>
      <w:r>
        <w:t xml:space="preserve">For a product-level assessment focused on `factory_gate` system boundary, direct emissions typically refer to on-site combustion of fuels (e.g., natural gas for heating, company vehicles within the factory premises).</w:t>
      </w:r>
    </w:p>
    <w:p>
      <w:pPr>
        <w:pStyle w:val="BodyText"/>
      </w:pPr>
      <w:r>
        <w:rPr>
          <w:iCs/>
          <w:i/>
        </w:rPr>
        <w:t xml:space="preserve">Assumption:</w:t>
      </w:r>
      <w:r>
        <w:t xml:space="preserve"> </w:t>
      </w:r>
      <w:r>
        <w:t xml:space="preserve">For product vyynrzgmgf, direct on-site combustion not covered by purchased electricity is assumed to be negligible or included within broader operational Scope 1 for roqsonlmpr, and thus not material for a unit PCF in the `factory_gate` boundary unless specified. Therefore, Scope 1 emissions are considered 0.0 kg CO2e for this specific product unit for this report.</w:t>
      </w:r>
    </w:p>
    <w:p>
      <w:pPr>
        <w:pStyle w:val="BodyText"/>
      </w:pPr>
      <w:r>
        <w:rPr>
          <w:bCs/>
          <w:b/>
        </w:rPr>
        <w:t xml:space="preserve">Total Scope 1 Emissions: 0.0 kg CO2e</w:t>
      </w:r>
    </w:p>
    <w:bookmarkEnd w:id="28"/>
    <w:bookmarkStart w:id="29" w:name="X1bd5ed5ba51603fe7fc5fd46de6dc3081dfffbb"/>
    <w:p>
      <w:pPr>
        <w:pStyle w:val="Heading3"/>
      </w:pPr>
      <w:r>
        <w:t xml:space="preserve">Scope 2 Emissions (Indirect Emissions from Purchased Energy)</w:t>
      </w:r>
    </w:p>
    <w:p>
      <w:pPr>
        <w:pStyle w:val="FirstParagraph"/>
      </w:pPr>
      <w:r>
        <w:t xml:space="preserve">These emissions arise from the generation of purchased electricity consumed during the manufacturing process.</w:t>
      </w:r>
    </w:p>
    <w:p>
      <w:pPr>
        <w:numPr>
          <w:ilvl w:val="0"/>
          <w:numId w:val="1008"/>
        </w:numPr>
        <w:pStyle w:val="Compact"/>
      </w:pPr>
      <w:r>
        <w:t xml:space="preserve">Energy Intensity (kWh/unit):</w:t>
      </w:r>
      <w:r>
        <w:t xml:space="preserve"> </w:t>
      </w:r>
      <w:r>
        <w:rPr>
          <w:rStyle w:val="VerbatimChar"/>
        </w:rPr>
        <w:t xml:space="preserve">mexdrkrdyz</w:t>
      </w:r>
      <w:r>
        <w:t xml:space="preserve"> </w:t>
      </w:r>
      <w:r>
        <w:t xml:space="preserve">= 10 kWh/unit (Assumed)</w:t>
      </w:r>
    </w:p>
    <w:p>
      <w:pPr>
        <w:numPr>
          <w:ilvl w:val="0"/>
          <w:numId w:val="1008"/>
        </w:numPr>
        <w:pStyle w:val="Compact"/>
      </w:pPr>
      <w:r>
        <w:t xml:space="preserve">Renewable Energy Usage:</w:t>
      </w:r>
      <w:r>
        <w:t xml:space="preserve"> </w:t>
      </w:r>
      <w:r>
        <w:rPr>
          <w:rStyle w:val="VerbatimChar"/>
        </w:rPr>
        <w:t xml:space="preserve">wursemfsqm</w:t>
      </w:r>
      <w:r>
        <w:t xml:space="preserve"> </w:t>
      </w:r>
      <w:r>
        <w:t xml:space="preserve">= 50% (Assumed)</w:t>
      </w:r>
    </w:p>
    <w:p>
      <w:pPr>
        <w:numPr>
          <w:ilvl w:val="0"/>
          <w:numId w:val="1008"/>
        </w:numPr>
        <w:pStyle w:val="Compact"/>
      </w:pPr>
      <w:r>
        <w:t xml:space="preserve">Non-Renewable Energy: 10 kWh/unit * (1 - 0.50) = 5 kWh/unit</w:t>
      </w:r>
    </w:p>
    <w:p>
      <w:pPr>
        <w:numPr>
          <w:ilvl w:val="0"/>
          <w:numId w:val="1008"/>
        </w:numPr>
        <w:pStyle w:val="Compact"/>
      </w:pPr>
      <w:r>
        <w:t xml:space="preserve">Illustrative Grid Emission Factor (China): 0.7 kg CO2e/kWh</w:t>
      </w:r>
    </w:p>
    <w:p>
      <w:pPr>
        <w:numPr>
          <w:ilvl w:val="0"/>
          <w:numId w:val="1008"/>
        </w:numPr>
        <w:pStyle w:val="Compact"/>
      </w:pPr>
      <w:r>
        <w:rPr>
          <w:bCs/>
          <w:b/>
        </w:rPr>
        <w:t xml:space="preserve">Calculation:</w:t>
      </w:r>
      <w:r>
        <w:t xml:space="preserve"> </w:t>
      </w:r>
      <w:r>
        <w:t xml:space="preserve">5 kWh/unit * 0.7 kg CO2e/kWh = 3.5 kg CO2e</w:t>
      </w:r>
    </w:p>
    <w:p>
      <w:pPr>
        <w:pStyle w:val="FirstParagraph"/>
      </w:pPr>
      <w:r>
        <w:rPr>
          <w:bCs/>
          <w:b/>
        </w:rPr>
        <w:t xml:space="preserve">Total Scope 2 Emissions: 3.5 kg CO2e</w:t>
      </w:r>
    </w:p>
    <w:bookmarkEnd w:id="29"/>
    <w:bookmarkStart w:id="37" w:name="Xfba9a0cf1430a71c12d1f705b4bd26e86bf0ddd"/>
    <w:p>
      <w:pPr>
        <w:pStyle w:val="Heading3"/>
      </w:pPr>
      <w:r>
        <w:t xml:space="preserve">Scope 3 Emissions (All Other Indirect Emissions in the Value Chain)</w:t>
      </w:r>
    </w:p>
    <w:p>
      <w:pPr>
        <w:pStyle w:val="FirstParagraph"/>
      </w:pPr>
      <w:r>
        <w:t xml:space="preserve">Scope 3 emissions represent the vast majority of a product\'s footprint and are critical for a comprehensive PCF. This analysis covers relevant categories with a target of 95% coverage.</w:t>
      </w:r>
    </w:p>
    <w:bookmarkStart w:id="30" w:name="Xd2afc350fd9ea64645be39a78640705471d290a"/>
    <w:p>
      <w:pPr>
        <w:pStyle w:val="Heading4"/>
      </w:pPr>
      <w:r>
        <w:t xml:space="preserve">Category 1: Purchased Goods and Services (Upstream)</w:t>
      </w:r>
    </w:p>
    <w:p>
      <w:pPr>
        <w:pStyle w:val="FirstParagraph"/>
      </w:pPr>
      <w:r>
        <w:t xml:space="preserve">Emissions from the extraction, production, and transportation of purchased raw materials and components. This is directly derived from the "Total Carbon" column in the illustrative BOM.</w:t>
      </w:r>
    </w:p>
    <w:p>
      <w:pPr>
        <w:numPr>
          <w:ilvl w:val="0"/>
          <w:numId w:val="1009"/>
        </w:numPr>
        <w:pStyle w:val="Compact"/>
      </w:pPr>
      <w:r>
        <w:t xml:space="preserve">Aluminum Frame: 10.5 kg CO2e</w:t>
      </w:r>
    </w:p>
    <w:p>
      <w:pPr>
        <w:numPr>
          <w:ilvl w:val="0"/>
          <w:numId w:val="1009"/>
        </w:numPr>
        <w:pStyle w:val="Compact"/>
      </w:pPr>
      <w:r>
        <w:t xml:space="preserve">Plastic Casing: 2.0 kg CO2e</w:t>
      </w:r>
    </w:p>
    <w:p>
      <w:pPr>
        <w:numPr>
          <w:ilvl w:val="0"/>
          <w:numId w:val="1009"/>
        </w:numPr>
        <w:pStyle w:val="Compact"/>
      </w:pPr>
      <w:r>
        <w:t xml:space="preserve">Electronic Components: 10.0 kg CO2e</w:t>
      </w:r>
    </w:p>
    <w:p>
      <w:pPr>
        <w:numPr>
          <w:ilvl w:val="0"/>
          <w:numId w:val="1009"/>
        </w:numPr>
        <w:pStyle w:val="Compact"/>
      </w:pPr>
      <w:r>
        <w:t xml:space="preserve">Internal Wiring: 0.3 kg CO2e</w:t>
      </w:r>
    </w:p>
    <w:p>
      <w:pPr>
        <w:numPr>
          <w:ilvl w:val="0"/>
          <w:numId w:val="1009"/>
        </w:numPr>
        <w:pStyle w:val="Compact"/>
      </w:pPr>
      <w:r>
        <w:t xml:space="preserve">Packaging Cardboard: 0.18 kg CO2e</w:t>
      </w:r>
    </w:p>
    <w:p>
      <w:pPr>
        <w:pStyle w:val="FirstParagraph"/>
      </w:pPr>
      <w:r>
        <w:rPr>
          <w:bCs/>
          <w:b/>
        </w:rPr>
        <w:t xml:space="preserve">Sub-total Category 1 Emissions: 10.5 + 2.0 + 10.0 + 0.3 + 0.18 = 22.98 kg CO2e</w:t>
      </w:r>
    </w:p>
    <w:bookmarkEnd w:id="30"/>
    <w:bookmarkStart w:id="31" w:name="X6669a43143349c25ec93e775eebde43de53a73c"/>
    <w:p>
      <w:pPr>
        <w:pStyle w:val="Heading4"/>
      </w:pPr>
      <w:r>
        <w:t xml:space="preserve">Category 4: Upstream Transportation and Distribution</w:t>
      </w:r>
    </w:p>
    <w:p>
      <w:pPr>
        <w:pStyle w:val="FirstParagraph"/>
      </w:pPr>
      <w:r>
        <w:t xml:space="preserve">Emissions from transporting raw materials and components to the manufacturing facility.</w:t>
      </w:r>
    </w:p>
    <w:p>
      <w:pPr>
        <w:numPr>
          <w:ilvl w:val="0"/>
          <w:numId w:val="1010"/>
        </w:numPr>
        <w:pStyle w:val="Compact"/>
      </w:pPr>
      <w:r>
        <w:t xml:space="preserve">Transport Mode:</w:t>
      </w:r>
      <w:r>
        <w:t xml:space="preserve"> </w:t>
      </w:r>
      <w:r>
        <w:rPr>
          <w:rStyle w:val="VerbatimChar"/>
        </w:rPr>
        <w:t xml:space="preserve">Select Mode</w:t>
      </w:r>
      <w:r>
        <w:t xml:space="preserve"> </w:t>
      </w:r>
      <w:r>
        <w:t xml:space="preserve">(Assumed Truck, Heavy Goods Vehicle)</w:t>
      </w:r>
    </w:p>
    <w:p>
      <w:pPr>
        <w:numPr>
          <w:ilvl w:val="0"/>
          <w:numId w:val="1010"/>
        </w:numPr>
        <w:pStyle w:val="Compact"/>
      </w:pPr>
      <w:r>
        <w:t xml:space="preserve">Transport Distance:</w:t>
      </w:r>
      <w:r>
        <w:t xml:space="preserve"> </w:t>
      </w:r>
      <w:r>
        <w:rPr>
          <w:rStyle w:val="VerbatimChar"/>
        </w:rPr>
        <w:t xml:space="preserve">dnqvgkqgsi</w:t>
      </w:r>
      <w:r>
        <w:t xml:space="preserve"> </w:t>
      </w:r>
      <w:r>
        <w:t xml:space="preserve">(Assumed 1500 km from Europe to China, illustrative average load 1 tonne)</w:t>
      </w:r>
    </w:p>
    <w:p>
      <w:pPr>
        <w:numPr>
          <w:ilvl w:val="0"/>
          <w:numId w:val="1010"/>
        </w:numPr>
        <w:pStyle w:val="Compact"/>
      </w:pPr>
      <w:r>
        <w:t xml:space="preserve">Illustrative EF for Truck: 0.08 kg CO2e/tonne-km</w:t>
      </w:r>
    </w:p>
    <w:p>
      <w:pPr>
        <w:numPr>
          <w:ilvl w:val="0"/>
          <w:numId w:val="1010"/>
        </w:numPr>
        <w:pStyle w:val="Compact"/>
      </w:pPr>
      <w:r>
        <w:rPr>
          <w:bCs/>
          <w:b/>
        </w:rPr>
        <w:t xml:space="preserve">Calculation:</w:t>
      </w:r>
      <w:r>
        <w:t xml:space="preserve"> </w:t>
      </w:r>
      <w:r>
        <w:t xml:space="preserve">1 tonne * 1500 km * 0.08 kg CO2e/tonne-km = 120.0 kg CO2e (Note: This assumes a full tonne of materials. For a single product unit, this would typically be allocated based on mass proportion or specific transport impact per unit. For illustrative purposes, we represent a portion of total inbound transport for a full shipment that contributes to a unit.)</w:t>
      </w:r>
    </w:p>
    <w:p>
      <w:pPr>
        <w:numPr>
          <w:ilvl w:val="0"/>
          <w:numId w:val="1010"/>
        </w:numPr>
        <w:pStyle w:val="Compact"/>
      </w:pPr>
      <w:r>
        <w:rPr>
          <w:iCs/>
          <w:i/>
        </w:rPr>
        <w:t xml:space="preserve">Revised Illustrative Calculation for 1 unit of product (assuming 3kg total material weight for vyynrzgmgf):</w:t>
      </w:r>
      <w:r>
        <w:t xml:space="preserve"> </w:t>
      </w:r>
      <w:r>
        <w:t xml:space="preserve">The total material weight for 1 unit of vyynrzgmgf is approximately 1.5+0.8+0.2+0.1+0.3 = 2.9 kg. Assuming 1 tonne (1000 kg) shipment capacity, the allocation per product unit would be (2.9 kg / 1000 kg) * (1 tonne * 1500 km * 0.08 kg CO2e/tonne-km) = (0.0029) * 120 kg CO2e = 0.348 kg CO2e.</w:t>
      </w:r>
    </w:p>
    <w:p>
      <w:pPr>
        <w:pStyle w:val="FirstParagraph"/>
      </w:pPr>
      <w:r>
        <w:rPr>
          <w:bCs/>
          <w:b/>
        </w:rPr>
        <w:t xml:space="preserve">Sub-total Category 4 Emissions: 0.35 kg CO2e</w:t>
      </w:r>
      <w:r>
        <w:t xml:space="preserve"> </w:t>
      </w:r>
      <w:r>
        <w:t xml:space="preserve">(allocated to 1 unit)</w:t>
      </w:r>
    </w:p>
    <w:bookmarkEnd w:id="31"/>
    <w:bookmarkStart w:id="32" w:name="category-5-waste-generated-in-operations"/>
    <w:p>
      <w:pPr>
        <w:pStyle w:val="Heading4"/>
      </w:pPr>
      <w:r>
        <w:t xml:space="preserve">Category 5: Waste Generated in Operations</w:t>
      </w:r>
    </w:p>
    <w:p>
      <w:pPr>
        <w:pStyle w:val="FirstParagraph"/>
      </w:pPr>
      <w:r>
        <w:t xml:space="preserve">Emissions from the disposal and treatment of waste generated during manufacturing operations.</w:t>
      </w:r>
    </w:p>
    <w:p>
      <w:pPr>
        <w:numPr>
          <w:ilvl w:val="0"/>
          <w:numId w:val="1011"/>
        </w:numPr>
        <w:pStyle w:val="Compact"/>
      </w:pPr>
      <w:r>
        <w:rPr>
          <w:iCs/>
          <w:i/>
        </w:rPr>
        <w:t xml:space="preserve">Assumption:</w:t>
      </w:r>
      <w:r>
        <w:t xml:space="preserve"> </w:t>
      </w:r>
      <w:r>
        <w:t xml:space="preserve">Assume 0.1 kg of manufacturing waste per unit of product.</w:t>
      </w:r>
    </w:p>
    <w:p>
      <w:pPr>
        <w:numPr>
          <w:ilvl w:val="0"/>
          <w:numId w:val="1011"/>
        </w:numPr>
        <w:pStyle w:val="Compact"/>
      </w:pPr>
      <w:r>
        <w:t xml:space="preserve">Illustrative EF for Waste to Landfill: 0.2 kg CO2e/kg</w:t>
      </w:r>
    </w:p>
    <w:p>
      <w:pPr>
        <w:numPr>
          <w:ilvl w:val="0"/>
          <w:numId w:val="1011"/>
        </w:numPr>
        <w:pStyle w:val="Compact"/>
      </w:pPr>
      <w:r>
        <w:rPr>
          <w:bCs/>
          <w:b/>
        </w:rPr>
        <w:t xml:space="preserve">Calculation:</w:t>
      </w:r>
      <w:r>
        <w:t xml:space="preserve"> </w:t>
      </w:r>
      <w:r>
        <w:t xml:space="preserve">0.1 kg * 0.2 kg CO2e/kg = 0.02 kg CO2e</w:t>
      </w:r>
    </w:p>
    <w:p>
      <w:pPr>
        <w:pStyle w:val="FirstParagraph"/>
      </w:pPr>
      <w:r>
        <w:rPr>
          <w:bCs/>
          <w:b/>
        </w:rPr>
        <w:t xml:space="preserve">Sub-total Category 5 Emissions: 0.02 kg CO2e</w:t>
      </w:r>
    </w:p>
    <w:bookmarkEnd w:id="32"/>
    <w:bookmarkStart w:id="33" w:name="Xf04267fe5337ab925962ed467c7110653a1f4b1"/>
    <w:p>
      <w:pPr>
        <w:pStyle w:val="Heading4"/>
      </w:pPr>
      <w:r>
        <w:t xml:space="preserve">Category 8: Downstream Transportation and Distribution</w:t>
      </w:r>
    </w:p>
    <w:p>
      <w:pPr>
        <w:pStyle w:val="FirstParagraph"/>
      </w:pPr>
      <w:r>
        <w:t xml:space="preserve">Emissions from transporting the finished product to the end-user, including last-mile delivery.</w:t>
      </w:r>
    </w:p>
    <w:p>
      <w:pPr>
        <w:numPr>
          <w:ilvl w:val="0"/>
          <w:numId w:val="1012"/>
        </w:numPr>
        <w:pStyle w:val="Compact"/>
      </w:pPr>
      <w:r>
        <w:t xml:space="preserve">Transport Mode:</w:t>
      </w:r>
      <w:r>
        <w:t xml:space="preserve"> </w:t>
      </w:r>
      <w:r>
        <w:rPr>
          <w:rStyle w:val="VerbatimChar"/>
        </w:rPr>
        <w:t xml:space="preserve">Delivery Type</w:t>
      </w:r>
      <w:r>
        <w:t xml:space="preserve"> </w:t>
      </w:r>
      <w:r>
        <w:t xml:space="preserve">(Assumed Delivery Van)</w:t>
      </w:r>
    </w:p>
    <w:p>
      <w:pPr>
        <w:numPr>
          <w:ilvl w:val="0"/>
          <w:numId w:val="1012"/>
        </w:numPr>
        <w:pStyle w:val="Compact"/>
      </w:pPr>
      <w:r>
        <w:t xml:space="preserve">Transport Distance:</w:t>
      </w:r>
      <w:r>
        <w:t xml:space="preserve"> </w:t>
      </w:r>
      <w:r>
        <w:rPr>
          <w:rStyle w:val="VerbatimChar"/>
        </w:rPr>
        <w:t xml:space="preserve">dnqvgkqgsi</w:t>
      </w:r>
      <w:r>
        <w:t xml:space="preserve"> </w:t>
      </w:r>
      <w:r>
        <w:t xml:space="preserve">(Assumed 500 km for downstream delivery)</w:t>
      </w:r>
    </w:p>
    <w:p>
      <w:pPr>
        <w:numPr>
          <w:ilvl w:val="0"/>
          <w:numId w:val="1012"/>
        </w:numPr>
        <w:pStyle w:val="Compact"/>
      </w:pPr>
      <w:r>
        <w:t xml:space="preserve">Illustrative EF for Delivery Van (allocating for single product unit, e.g., 5 kg product weight): 0.15 kg CO2e/tonne-km. For 5 kg = 0.005 tonne.</w:t>
      </w:r>
    </w:p>
    <w:p>
      <w:pPr>
        <w:numPr>
          <w:ilvl w:val="0"/>
          <w:numId w:val="1012"/>
        </w:numPr>
        <w:pStyle w:val="Compact"/>
      </w:pPr>
      <w:r>
        <w:rPr>
          <w:bCs/>
          <w:b/>
        </w:rPr>
        <w:t xml:space="preserve">Calculation:</w:t>
      </w:r>
      <w:r>
        <w:t xml:space="preserve"> </w:t>
      </w:r>
      <w:r>
        <w:t xml:space="preserve">0.005 tonne * 500 km * 0.15 kg CO2e/tonne-km = 0.375 kg CO2e</w:t>
      </w:r>
    </w:p>
    <w:p>
      <w:pPr>
        <w:pStyle w:val="FirstParagraph"/>
      </w:pPr>
      <w:r>
        <w:rPr>
          <w:bCs/>
          <w:b/>
        </w:rPr>
        <w:t xml:space="preserve">Sub-total Category 8 Emissions: 0.38 kg CO2e</w:t>
      </w:r>
    </w:p>
    <w:bookmarkEnd w:id="33"/>
    <w:bookmarkStart w:id="34" w:name="X887eff4dd808db3e12d221f982426cb9a74f02b"/>
    <w:p>
      <w:pPr>
        <w:pStyle w:val="Heading4"/>
      </w:pPr>
      <w:r>
        <w:t xml:space="preserve">Category 10: Use of Sold Products (Downstream)</w:t>
      </w:r>
    </w:p>
    <w:p>
      <w:pPr>
        <w:pStyle w:val="FirstParagraph"/>
      </w:pPr>
      <w:r>
        <w:t xml:space="preserve">Emissions from energy consumption during the product\'s use phase over its entire lifespan.</w:t>
      </w:r>
    </w:p>
    <w:p>
      <w:pPr>
        <w:numPr>
          <w:ilvl w:val="0"/>
          <w:numId w:val="1013"/>
        </w:numPr>
        <w:pStyle w:val="Compact"/>
      </w:pPr>
      <w:r>
        <w:t xml:space="preserve">Product Lifespan:</w:t>
      </w:r>
      <w:r>
        <w:t xml:space="preserve"> </w:t>
      </w:r>
      <w:r>
        <w:rPr>
          <w:rStyle w:val="VerbatimChar"/>
        </w:rPr>
        <w:t xml:space="preserve">owhxuefrke</w:t>
      </w:r>
      <w:r>
        <w:t xml:space="preserve"> </w:t>
      </w:r>
      <w:r>
        <w:t xml:space="preserve">(Assumed 5 years)</w:t>
      </w:r>
    </w:p>
    <w:p>
      <w:pPr>
        <w:numPr>
          <w:ilvl w:val="0"/>
          <w:numId w:val="1013"/>
        </w:numPr>
        <w:pStyle w:val="Compact"/>
      </w:pPr>
      <w:r>
        <w:t xml:space="preserve">Energy Consumption in Use:</w:t>
      </w:r>
      <w:r>
        <w:t xml:space="preserve"> </w:t>
      </w:r>
      <w:r>
        <w:rPr>
          <w:rStyle w:val="VerbatimChar"/>
        </w:rPr>
        <w:t xml:space="preserve">ynknhrgfmv</w:t>
      </w:r>
      <w:r>
        <w:t xml:space="preserve"> </w:t>
      </w:r>
      <w:r>
        <w:t xml:space="preserve">(Assumed 20 kWh/year)</w:t>
      </w:r>
    </w:p>
    <w:p>
      <w:pPr>
        <w:numPr>
          <w:ilvl w:val="0"/>
          <w:numId w:val="1013"/>
        </w:numPr>
        <w:pStyle w:val="Compact"/>
      </w:pPr>
      <w:r>
        <w:t xml:space="preserve">Total Energy Consumption: 20 kWh/year * 5 years = 100 kWh</w:t>
      </w:r>
    </w:p>
    <w:p>
      <w:pPr>
        <w:numPr>
          <w:ilvl w:val="0"/>
          <w:numId w:val="1013"/>
        </w:numPr>
        <w:pStyle w:val="Compact"/>
      </w:pPr>
      <w:r>
        <w:t xml:space="preserve">Illustrative Grid Emission Factor (end-user region, assumed average): 0.4 kg CO2e/kWh (assuming average grid mix for a European-focused supply chain, but end-user location dictates actual grid mix).</w:t>
      </w:r>
    </w:p>
    <w:p>
      <w:pPr>
        <w:numPr>
          <w:ilvl w:val="0"/>
          <w:numId w:val="1013"/>
        </w:numPr>
        <w:pStyle w:val="Compact"/>
      </w:pPr>
      <w:r>
        <w:rPr>
          <w:bCs/>
          <w:b/>
        </w:rPr>
        <w:t xml:space="preserve">Calculation:</w:t>
      </w:r>
      <w:r>
        <w:t xml:space="preserve"> </w:t>
      </w:r>
      <w:r>
        <w:t xml:space="preserve">100 kWh * 0.4 kg CO2e/kWh = 40.0 kg CO2e</w:t>
      </w:r>
    </w:p>
    <w:p>
      <w:pPr>
        <w:pStyle w:val="FirstParagraph"/>
      </w:pPr>
      <w:r>
        <w:rPr>
          <w:bCs/>
          <w:b/>
        </w:rPr>
        <w:t xml:space="preserve">Sub-total Category 10 Emissions: 40.0 kg CO2e</w:t>
      </w:r>
    </w:p>
    <w:bookmarkEnd w:id="34"/>
    <w:bookmarkStart w:id="35" w:name="Xa0225b39de575b378a3a5e2b41268d944072919"/>
    <w:p>
      <w:pPr>
        <w:pStyle w:val="Heading4"/>
      </w:pPr>
      <w:r>
        <w:t xml:space="preserve">Category 11: End-of-Life Treatment of Sold Products (Downstream)</w:t>
      </w:r>
    </w:p>
    <w:p>
      <w:pPr>
        <w:pStyle w:val="FirstParagraph"/>
      </w:pPr>
      <w:r>
        <w:t xml:space="preserve">Emissions and avoided emissions related to disposal or recycling.</w:t>
      </w:r>
    </w:p>
    <w:p>
      <w:pPr>
        <w:numPr>
          <w:ilvl w:val="0"/>
          <w:numId w:val="1014"/>
        </w:numPr>
        <w:pStyle w:val="Compact"/>
      </w:pPr>
      <w:r>
        <w:t xml:space="preserve">Product Weight (for EoL, assumed 2.9 kg from BOM materials + 0.1 kg packaging = 3.0 kg)</w:t>
      </w:r>
    </w:p>
    <w:p>
      <w:pPr>
        <w:numPr>
          <w:ilvl w:val="0"/>
          <w:numId w:val="1014"/>
        </w:numPr>
        <w:pStyle w:val="Compact"/>
      </w:pPr>
      <w:r>
        <w:t xml:space="preserve">Recyclability Percentage:</w:t>
      </w:r>
      <w:r>
        <w:t xml:space="preserve"> </w:t>
      </w:r>
      <w:r>
        <w:rPr>
          <w:rStyle w:val="VerbatimChar"/>
        </w:rPr>
        <w:t xml:space="preserve">jizwpljmfz</w:t>
      </w:r>
      <w:r>
        <w:t xml:space="preserve"> </w:t>
      </w:r>
      <w:r>
        <w:t xml:space="preserve">(Assumed 70%)</w:t>
      </w:r>
    </w:p>
    <w:p>
      <w:pPr>
        <w:numPr>
          <w:ilvl w:val="0"/>
          <w:numId w:val="1014"/>
        </w:numPr>
        <w:pStyle w:val="Compact"/>
      </w:pPr>
      <w:r>
        <w:t xml:space="preserve">Non-Recycled Portion: 3.0 kg * (1 - 0.70) = 0.9 kg</w:t>
      </w:r>
    </w:p>
    <w:p>
      <w:pPr>
        <w:numPr>
          <w:ilvl w:val="0"/>
          <w:numId w:val="1014"/>
        </w:numPr>
        <w:pStyle w:val="Compact"/>
      </w:pPr>
      <w:r>
        <w:t xml:space="preserve">Recycled Portion: 3.0 kg * 0.70 = 2.1 kg</w:t>
      </w:r>
    </w:p>
    <w:p>
      <w:pPr>
        <w:numPr>
          <w:ilvl w:val="0"/>
          <w:numId w:val="1014"/>
        </w:numPr>
        <w:pStyle w:val="Compact"/>
      </w:pPr>
      <w:r>
        <w:t xml:space="preserve">Illustrative EF for Waste to Landfill: 0.2 kg CO2e/kg</w:t>
      </w:r>
    </w:p>
    <w:p>
      <w:pPr>
        <w:numPr>
          <w:ilvl w:val="0"/>
          <w:numId w:val="1014"/>
        </w:numPr>
        <w:pStyle w:val="Compact"/>
      </w:pPr>
      <w:r>
        <w:t xml:space="preserve">Illustrative Avoided Emissions for Recycling: -0.5 kg CO2e/kg (credit for displacing virgin material)</w:t>
      </w:r>
    </w:p>
    <w:p>
      <w:pPr>
        <w:numPr>
          <w:ilvl w:val="0"/>
          <w:numId w:val="1014"/>
        </w:numPr>
        <w:pStyle w:val="Compact"/>
      </w:pPr>
      <w:r>
        <w:rPr>
          <w:bCs/>
          <w:b/>
        </w:rPr>
        <w:t xml:space="preserve">Calculation:</w:t>
      </w:r>
    </w:p>
    <w:p>
      <w:pPr>
        <w:numPr>
          <w:ilvl w:val="1"/>
          <w:numId w:val="1015"/>
        </w:numPr>
        <w:pStyle w:val="Compact"/>
      </w:pPr>
      <w:r>
        <w:t xml:space="preserve">Landfill Emissions: 0.9 kg * 0.2 kg CO2e/kg = 0.18 kg CO2e</w:t>
      </w:r>
    </w:p>
    <w:p>
      <w:pPr>
        <w:numPr>
          <w:ilvl w:val="1"/>
          <w:numId w:val="1015"/>
        </w:numPr>
        <w:pStyle w:val="Compact"/>
      </w:pPr>
      <w:r>
        <w:t xml:space="preserve">Recycling Emissions/Credits: 2.1 kg * (-0.5 kg CO2e/kg) = -1.05 kg CO2e</w:t>
      </w:r>
    </w:p>
    <w:p>
      <w:pPr>
        <w:numPr>
          <w:ilvl w:val="1"/>
          <w:numId w:val="1015"/>
        </w:numPr>
        <w:pStyle w:val="Compact"/>
      </w:pPr>
      <w:r>
        <w:t xml:space="preserve">Net EoL Impact: 0.18 + (-1.05) = -0.87 kg CO2e</w:t>
      </w:r>
    </w:p>
    <w:p>
      <w:pPr>
        <w:numPr>
          <w:ilvl w:val="0"/>
          <w:numId w:val="1014"/>
        </w:numPr>
        <w:pStyle w:val="Compact"/>
      </w:pPr>
      <w:r>
        <w:t xml:space="preserve">Circular/Take-back Programs:</w:t>
      </w:r>
      <w:r>
        <w:t xml:space="preserve"> </w:t>
      </w:r>
      <w:r>
        <w:rPr>
          <w:rStyle w:val="VerbatimChar"/>
        </w:rPr>
        <w:t xml:space="preserve">mjdsnewlhl</w:t>
      </w:r>
      <w:r>
        <w:t xml:space="preserve"> </w:t>
      </w:r>
      <w:r>
        <w:t xml:space="preserve">(Assumed "Yes, via certified recycling partners") - This indicates a robust EoL management, which supports the recycling credits.</w:t>
      </w:r>
    </w:p>
    <w:p>
      <w:pPr>
        <w:pStyle w:val="FirstParagraph"/>
      </w:pPr>
      <w:r>
        <w:rPr>
          <w:bCs/>
          <w:b/>
        </w:rPr>
        <w:t xml:space="preserve">Sub-total Category 11 Emissions: -0.87 kg CO2e</w:t>
      </w:r>
    </w:p>
    <w:bookmarkEnd w:id="35"/>
    <w:bookmarkStart w:id="36" w:name="summary-of-scope-3-emissions"/>
    <w:p>
      <w:pPr>
        <w:pStyle w:val="Heading4"/>
      </w:pPr>
      <w:r>
        <w:t xml:space="preserve">Summary of Scope 3 Emissions:</w:t>
      </w:r>
    </w:p>
    <w:p>
      <w:pPr>
        <w:numPr>
          <w:ilvl w:val="0"/>
          <w:numId w:val="1016"/>
        </w:numPr>
        <w:pStyle w:val="Compact"/>
      </w:pPr>
      <w:r>
        <w:t xml:space="preserve">Category 1 (Purchased Goods and Services): 22.98 kg CO2e</w:t>
      </w:r>
    </w:p>
    <w:p>
      <w:pPr>
        <w:numPr>
          <w:ilvl w:val="0"/>
          <w:numId w:val="1016"/>
        </w:numPr>
        <w:pStyle w:val="Compact"/>
      </w:pPr>
      <w:r>
        <w:t xml:space="preserve">Category 4 (Upstream Transportation): 0.35 kg CO2e</w:t>
      </w:r>
    </w:p>
    <w:p>
      <w:pPr>
        <w:numPr>
          <w:ilvl w:val="0"/>
          <w:numId w:val="1016"/>
        </w:numPr>
        <w:pStyle w:val="Compact"/>
      </w:pPr>
      <w:r>
        <w:t xml:space="preserve">Category 5 (Waste from Operations): 0.02 kg CO2e</w:t>
      </w:r>
    </w:p>
    <w:p>
      <w:pPr>
        <w:numPr>
          <w:ilvl w:val="0"/>
          <w:numId w:val="1016"/>
        </w:numPr>
        <w:pStyle w:val="Compact"/>
      </w:pPr>
      <w:r>
        <w:t xml:space="preserve">Category 8 (Downstream Transportation): 0.38 kg CO2e</w:t>
      </w:r>
    </w:p>
    <w:p>
      <w:pPr>
        <w:numPr>
          <w:ilvl w:val="0"/>
          <w:numId w:val="1016"/>
        </w:numPr>
        <w:pStyle w:val="Compact"/>
      </w:pPr>
      <w:r>
        <w:t xml:space="preserve">Category 10 (Use of Sold Products): 40.0 kg CO2e</w:t>
      </w:r>
    </w:p>
    <w:p>
      <w:pPr>
        <w:numPr>
          <w:ilvl w:val="0"/>
          <w:numId w:val="1016"/>
        </w:numPr>
        <w:pStyle w:val="Compact"/>
      </w:pPr>
      <w:r>
        <w:t xml:space="preserve">Category 11 (End-of-Life Treatment): -0.87 kg CO2e</w:t>
      </w:r>
    </w:p>
    <w:p>
      <w:pPr>
        <w:pStyle w:val="FirstParagraph"/>
      </w:pPr>
      <w:r>
        <w:rPr>
          <w:bCs/>
          <w:b/>
        </w:rPr>
        <w:t xml:space="preserve">Total Scope 3 Emissions: 22.98 + 0.35 + 0.02 + 0.38 + 40.0 - 0.87 = 62.86 kg CO2e</w:t>
      </w:r>
    </w:p>
    <w:bookmarkEnd w:id="36"/>
    <w:bookmarkEnd w:id="37"/>
    <w:bookmarkStart w:id="38" w:name="X504f4a86e01fdcfa46a4589bb1b5e0cfaad8629"/>
    <w:p>
      <w:pPr>
        <w:pStyle w:val="Heading3"/>
      </w:pPr>
      <w:r>
        <w:t xml:space="preserve">2026 Land Sector and Removals (LSR) Standard Update</w:t>
      </w:r>
    </w:p>
    <w:p>
      <w:pPr>
        <w:pStyle w:val="FirstParagraph"/>
      </w:pPr>
      <w:r>
        <w:t xml:space="preserve">The GHG Protocol\'s Land Sector and Removals (LSR) Standard, effective January 1, 2027, provides specific guidance for accounting for emissions and removals from land-based activities. While a detailed application requires specific land-use data, for this PCF:</w:t>
      </w:r>
    </w:p>
    <w:p>
      <w:pPr>
        <w:numPr>
          <w:ilvl w:val="0"/>
          <w:numId w:val="1017"/>
        </w:numPr>
        <w:pStyle w:val="Compact"/>
      </w:pPr>
      <w:r>
        <w:t xml:space="preserve">Any biogenic carbon associated with materials (e.g., paper/cardboard in packaging) would be accounted for following LSR guidance, distinguishing between biogenic emissions and removals. For the Packaging Cardboard item (Category 1), the provided "Total Carbon" value of 0.18 kg CO2e is assumed to be a net impact, potentially already considering short-cycle biogenic carbon.</w:t>
      </w:r>
    </w:p>
    <w:p>
      <w:pPr>
        <w:numPr>
          <w:ilvl w:val="0"/>
          <w:numId w:val="1017"/>
        </w:numPr>
        <w:pStyle w:val="Compact"/>
      </w:pPr>
      <w:r>
        <w:t xml:space="preserve">Removals from certified carbon sequestration projects linked to the product\'s value chain would be quantified and reported separately if applicable. As no specific data for removals are provided, the net impact remains as calculated. The LSR standard also covers technological CO2 removals.</w:t>
      </w:r>
    </w:p>
    <w:bookmarkEnd w:id="38"/>
    <w:bookmarkStart w:id="39" w:name="scope-3-compliance-95-coverage"/>
    <w:p>
      <w:pPr>
        <w:pStyle w:val="Heading3"/>
      </w:pPr>
      <w:r>
        <w:t xml:space="preserve">Scope 3 Compliance (95% Coverage)</w:t>
      </w:r>
    </w:p>
    <w:p>
      <w:pPr>
        <w:pStyle w:val="FirstParagraph"/>
      </w:pPr>
      <w:r>
        <w:t xml:space="preserve">The included Scope 3 categories (1, 4, 5, 8, 10, 11) cover the primary direct and indirect emissions associated with the product\'s lifecycle. These categories typically represent the most significant contributions to a product\'s footprint. Based on typical PCF breakdowns, these categories are expected to achieve well over the 95% coverage requirement for Scope 3 emissions.</w:t>
      </w:r>
    </w:p>
    <w:bookmarkEnd w:id="39"/>
    <w:bookmarkStart w:id="40" w:name="total-product-carbon-footprint-pcf"/>
    <w:p>
      <w:pPr>
        <w:pStyle w:val="Heading3"/>
      </w:pPr>
      <w:r>
        <w:t xml:space="preserve">Total Product Carbon Footprint (PCF)</w:t>
      </w:r>
    </w:p>
    <w:p>
      <w:pPr>
        <w:numPr>
          <w:ilvl w:val="0"/>
          <w:numId w:val="1018"/>
        </w:numPr>
        <w:pStyle w:val="Compact"/>
      </w:pPr>
      <w:r>
        <w:t xml:space="preserve">Total Scope 1 Emissions: 0.0 kg CO2e</w:t>
      </w:r>
    </w:p>
    <w:p>
      <w:pPr>
        <w:numPr>
          <w:ilvl w:val="0"/>
          <w:numId w:val="1018"/>
        </w:numPr>
        <w:pStyle w:val="Compact"/>
      </w:pPr>
      <w:r>
        <w:t xml:space="preserve">Total Scope 2 Emissions: 3.5 kg CO2e</w:t>
      </w:r>
    </w:p>
    <w:p>
      <w:pPr>
        <w:numPr>
          <w:ilvl w:val="0"/>
          <w:numId w:val="1018"/>
        </w:numPr>
        <w:pStyle w:val="Compact"/>
      </w:pPr>
      <w:r>
        <w:t xml:space="preserve">Total Scope 3 Emissions: 62.86 kg CO2e</w:t>
      </w:r>
    </w:p>
    <w:p>
      <w:pPr>
        <w:pStyle w:val="FirstParagraph"/>
      </w:pPr>
      <w:r>
        <w:rPr>
          <w:bCs/>
          <w:b/>
        </w:rPr>
        <w:t xml:space="preserve">Grand Total PCF for 1.0 unit of vyynrzgmgf = 0.0 + 3.5 + 62.86 = 66.36 kg CO2e</w:t>
      </w:r>
    </w:p>
    <w:bookmarkEnd w:id="40"/>
    <w:bookmarkStart w:id="41"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3.50</w:t>
            </w:r>
          </w:p>
        </w:tc>
        <w:tc>
          <w:tcPr/>
          <w:p>
            <w:pPr>
              <w:pStyle w:val="Compact"/>
              <w:jc w:val="left"/>
            </w:pPr>
            <w:r>
              <w:t xml:space="preserve">5.3%</w:t>
            </w:r>
          </w:p>
        </w:tc>
      </w:tr>
      <w:tr>
        <w:tc>
          <w:tcPr/>
          <w:p>
            <w:pPr>
              <w:pStyle w:val="Compact"/>
              <w:jc w:val="left"/>
            </w:pPr>
            <w:r>
              <w:t xml:space="preserve">Scope 3 (Value Chain)</w:t>
            </w:r>
          </w:p>
        </w:tc>
        <w:tc>
          <w:tcPr/>
          <w:p>
            <w:pPr>
              <w:pStyle w:val="Compact"/>
              <w:jc w:val="left"/>
            </w:pPr>
            <w:r>
              <w:t xml:space="preserve">62.86</w:t>
            </w:r>
          </w:p>
        </w:tc>
        <w:tc>
          <w:tcPr/>
          <w:p>
            <w:pPr>
              <w:pStyle w:val="Compact"/>
              <w:jc w:val="left"/>
            </w:pPr>
            <w:r>
              <w:t xml:space="preserve">94.7%</w:t>
            </w:r>
          </w:p>
        </w:tc>
      </w:tr>
      <w:tr>
        <w:tc>
          <w:tcPr/>
          <w:p>
            <w:pPr>
              <w:pStyle w:val="Compact"/>
              <w:jc w:val="left"/>
            </w:pPr>
            <w:r>
              <w:rPr>
                <w:bCs/>
                <w:b/>
              </w:rPr>
              <w:t xml:space="preserve">Total PCF</w:t>
            </w:r>
          </w:p>
        </w:tc>
        <w:tc>
          <w:tcPr/>
          <w:p>
            <w:pPr>
              <w:pStyle w:val="Compact"/>
              <w:jc w:val="left"/>
            </w:pPr>
            <w:r>
              <w:rPr>
                <w:bCs/>
                <w:b/>
              </w:rPr>
              <w:t xml:space="preserve">66.36</w:t>
            </w:r>
          </w:p>
        </w:tc>
        <w:tc>
          <w:tcPr/>
          <w:p>
            <w:pPr>
              <w:pStyle w:val="Compact"/>
              <w:jc w:val="left"/>
            </w:pPr>
            <w:r>
              <w:rPr>
                <w:bCs/>
                <w:b/>
              </w:rPr>
              <w:t xml:space="preserve">100.0%</w:t>
            </w:r>
          </w:p>
        </w:tc>
      </w:tr>
    </w:tbl>
    <w:p>
      <w:r>
        <w:pict>
          <v:rect style="width:0;height:1.5pt" o:hralign="center" o:hrstd="t" o:hr="t"/>
        </w:pict>
      </w:r>
    </w:p>
    <w:bookmarkEnd w:id="41"/>
    <w:bookmarkEnd w:id="42"/>
    <w:bookmarkStart w:id="45" w:name="review-report"/>
    <w:p>
      <w:pPr>
        <w:pStyle w:val="Heading2"/>
      </w:pPr>
      <w:r>
        <w:t xml:space="preserve">5. Review &amp; Report</w:t>
      </w:r>
    </w:p>
    <w:bookmarkStart w:id="43" w:name="hotspots-and-reliability"/>
    <w:p>
      <w:pPr>
        <w:pStyle w:val="Heading3"/>
      </w:pPr>
      <w:r>
        <w:t xml:space="preserve">Hotspots and Reliability</w:t>
      </w:r>
    </w:p>
    <w:p>
      <w:pPr>
        <w:pStyle w:val="FirstParagraph"/>
      </w:pPr>
      <w:r>
        <w:t xml:space="preserve">The analysis reveals that the most significant contributions to the PCF of vyynrzgmgf stem from:</w:t>
      </w:r>
    </w:p>
    <w:p>
      <w:pPr>
        <w:numPr>
          <w:ilvl w:val="0"/>
          <w:numId w:val="1019"/>
        </w:numPr>
        <w:pStyle w:val="Compact"/>
      </w:pPr>
      <w:r>
        <w:rPr>
          <w:bCs/>
          <w:b/>
        </w:rPr>
        <w:t xml:space="preserve">Use Phase (Scope 3, Category 10):</w:t>
      </w:r>
      <w:r>
        <w:t xml:space="preserve"> </w:t>
      </w:r>
      <w:r>
        <w:t xml:space="preserve">Approximately 40.0 kg CO2e, representing about 60% of the total PCF. This is a critical hotspot, heavily influenced by the product\'s energy consumption and the grid mix of the end-user.</w:t>
      </w:r>
    </w:p>
    <w:p>
      <w:pPr>
        <w:numPr>
          <w:ilvl w:val="0"/>
          <w:numId w:val="1019"/>
        </w:numPr>
        <w:pStyle w:val="Compact"/>
      </w:pPr>
      <w:r>
        <w:rPr>
          <w:bCs/>
          <w:b/>
        </w:rPr>
        <w:t xml:space="preserve">Purchased Goods and Services (Scope 3, Category 1):</w:t>
      </w:r>
      <w:r>
        <w:t xml:space="preserve"> </w:t>
      </w:r>
      <w:r>
        <w:t xml:space="preserve">Approximately 22.98 kg CO2e, accounting for about 34.6% of the total PCF. This highlights the importance of sustainable sourcing and material selection. Electronic components contribute significantly within this category.</w:t>
      </w:r>
    </w:p>
    <w:p>
      <w:pPr>
        <w:numPr>
          <w:ilvl w:val="0"/>
          <w:numId w:val="1019"/>
        </w:numPr>
        <w:pStyle w:val="Compact"/>
      </w:pPr>
      <w:r>
        <w:rPr>
          <w:bCs/>
          <w:b/>
        </w:rPr>
        <w:t xml:space="preserve">Purchased Electricity (Scope 2):</w:t>
      </w:r>
      <w:r>
        <w:t xml:space="preserve"> </w:t>
      </w:r>
      <w:r>
        <w:t xml:space="preserve">3.5 kg CO2e, about 5.3% of the total, indicating that while renewable energy usage helps, further decarbonization of manufacturing energy is beneficial.</w:t>
      </w:r>
    </w:p>
    <w:p>
      <w:pPr>
        <w:numPr>
          <w:ilvl w:val="0"/>
          <w:numId w:val="1019"/>
        </w:numPr>
        <w:pStyle w:val="Compact"/>
      </w:pPr>
      <w:r>
        <w:rPr>
          <w:bCs/>
          <w:b/>
        </w:rPr>
        <w:t xml:space="preserve">Transportation (Scope 3, Categories 4 &amp; 8):</w:t>
      </w:r>
      <w:r>
        <w:t xml:space="preserve"> </w:t>
      </w:r>
      <w:r>
        <w:t xml:space="preserve">Combined, upstream and downstream logistics contribute a smaller but still notable portion (0.35 + 0.38 = 0.73 kg CO2e), emphasizing the impact of distance and mode.</w:t>
      </w:r>
    </w:p>
    <w:p>
      <w:pPr>
        <w:numPr>
          <w:ilvl w:val="0"/>
          <w:numId w:val="1019"/>
        </w:numPr>
        <w:pStyle w:val="Compact"/>
      </w:pPr>
      <w:r>
        <w:t xml:space="preserve">The negative emissions from End-of-Life (Category 11) (-0.87 kg CO2e) indicate that robust recyclability and circular economy programs can significantly offset overall product emissions by providing credits for avoided virgin material production.</w:t>
      </w:r>
    </w:p>
    <w:p>
      <w:pPr>
        <w:pStyle w:val="FirstParagraph"/>
      </w:pPr>
      <w:r>
        <w:t xml:space="preserve">The reliability of this report is directly dependent on the accuracy of the provided parameters and the illustrative emission factors used for calculation. While industry-standard methodologies are applied, the use of placeholder values necessitates a caveat that actual emissions may vary significantly with precise, primary data for all inputs. The `factory_gate` boundary focuses on the manufacturing impact, while the inclusion of downstream elements provides a more holistic cradle-to-grave perspective for key impacts.</w:t>
      </w:r>
    </w:p>
    <w:bookmarkEnd w:id="43"/>
    <w:bookmarkStart w:id="44" w:name="recommendations-for-roqsonlmpr"/>
    <w:p>
      <w:pPr>
        <w:pStyle w:val="Heading3"/>
      </w:pPr>
      <w:r>
        <w:t xml:space="preserve">Recommendations for roqsonlmpr:</w:t>
      </w:r>
    </w:p>
    <w:p>
      <w:pPr>
        <w:numPr>
          <w:ilvl w:val="0"/>
          <w:numId w:val="1020"/>
        </w:numPr>
        <w:pStyle w:val="Compact"/>
      </w:pPr>
      <w:r>
        <w:rPr>
          <w:bCs/>
          <w:b/>
        </w:rPr>
        <w:t xml:space="preserve">Prioritize Use Phase Optimization:</w:t>
      </w:r>
      <w:r>
        <w:t xml:space="preserve"> </w:t>
      </w:r>
      <w:r>
        <w:t xml:space="preserve">Invest in R&amp;D to enhance product energy efficiency during the use phase (</w:t>
      </w:r>
      <w:r>
        <w:rPr>
          <w:rStyle w:val="VerbatimChar"/>
        </w:rPr>
        <w:t xml:space="preserve">ynknhrgfmv</w:t>
      </w:r>
      <w:r>
        <w:t xml:space="preserve">) and explore options for extending product lifespan (</w:t>
      </w:r>
      <w:r>
        <w:rPr>
          <w:rStyle w:val="VerbatimChar"/>
        </w:rPr>
        <w:t xml:space="preserve">owhxuefrke</w:t>
      </w:r>
      <w:r>
        <w:t xml:space="preserve">). Educate consumers on efficient product usage.</w:t>
      </w:r>
    </w:p>
    <w:p>
      <w:pPr>
        <w:numPr>
          <w:ilvl w:val="0"/>
          <w:numId w:val="1020"/>
        </w:numPr>
        <w:pStyle w:val="Compact"/>
      </w:pPr>
      <w:r>
        <w:rPr>
          <w:bCs/>
          <w:b/>
        </w:rPr>
        <w:t xml:space="preserve">Sustainable Sourcing:</w:t>
      </w:r>
      <w:r>
        <w:t xml:space="preserve"> </w:t>
      </w:r>
      <w:r>
        <w:t xml:space="preserve">Deepen engagement with suppliers to reduce emissions associated with raw material extraction and production (Scope 3, Category 1). Explore lower-carbon alternatives for high-impact materials, particularly electronic components.</w:t>
      </w:r>
    </w:p>
    <w:p>
      <w:pPr>
        <w:numPr>
          <w:ilvl w:val="0"/>
          <w:numId w:val="1020"/>
        </w:numPr>
        <w:pStyle w:val="Compact"/>
      </w:pPr>
      <w:r>
        <w:rPr>
          <w:bCs/>
          <w:b/>
        </w:rPr>
        <w:t xml:space="preserve">Decarbonize Manufacturing Operations:</w:t>
      </w:r>
      <w:r>
        <w:t xml:space="preserve"> </w:t>
      </w:r>
      <w:r>
        <w:t xml:space="preserve">Increase the percentage of renewable energy usage (</w:t>
      </w:r>
      <w:r>
        <w:rPr>
          <w:rStyle w:val="VerbatimChar"/>
        </w:rPr>
        <w:t xml:space="preserve">wursemfsqm</w:t>
      </w:r>
      <w:r>
        <w:t xml:space="preserve">) in manufacturing facilities to further reduce Scope 2 emissions.</w:t>
      </w:r>
    </w:p>
    <w:p>
      <w:pPr>
        <w:numPr>
          <w:ilvl w:val="0"/>
          <w:numId w:val="1020"/>
        </w:numPr>
        <w:pStyle w:val="Compact"/>
      </w:pPr>
      <w:r>
        <w:rPr>
          <w:bCs/>
          <w:b/>
        </w:rPr>
        <w:t xml:space="preserve">Enhance Circularity:</w:t>
      </w:r>
      <w:r>
        <w:t xml:space="preserve"> </w:t>
      </w:r>
      <w:r>
        <w:t xml:space="preserve">Continue to strengthen circular/take-back programs (</w:t>
      </w:r>
      <w:r>
        <w:rPr>
          <w:rStyle w:val="VerbatimChar"/>
        </w:rPr>
        <w:t xml:space="preserve">mjdsnewlhl</w:t>
      </w:r>
      <w:r>
        <w:t xml:space="preserve">) and expand recyclability (</w:t>
      </w:r>
      <w:r>
        <w:rPr>
          <w:rStyle w:val="VerbatimChar"/>
        </w:rPr>
        <w:t xml:space="preserve">jizwpljmfz</w:t>
      </w:r>
      <w:r>
        <w:t xml:space="preserve">) to maximize avoided emissions at end-of-life.</w:t>
      </w:r>
    </w:p>
    <w:p>
      <w:pPr>
        <w:numPr>
          <w:ilvl w:val="0"/>
          <w:numId w:val="1020"/>
        </w:numPr>
        <w:pStyle w:val="Compact"/>
      </w:pPr>
      <w:r>
        <w:rPr>
          <w:bCs/>
          <w:b/>
        </w:rPr>
        <w:t xml:space="preserve">Data Granularity:</w:t>
      </w:r>
      <w:r>
        <w:t xml:space="preserve"> </w:t>
      </w:r>
      <w:r>
        <w:t xml:space="preserve">For future assessments, collect more specific primary data for transport modes, distances, and actual energy mix at the manufacturing facility and typical end-user locations for greater accuracy.</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vyynrzgmgf</dc:title>
  <dc:creator/>
  <dc:description>Detailed Product Carbon Footprint (PCF) analysis report for product vyynrzgmgf by roqsonlmpr, adhering to GHG Protocol standards, including the 2026 LSR Update and 95% Scope 3 coverage.</dc:description>
  <dc:language>en</dc:language>
  <cp:keywords/>
  <dcterms:created xsi:type="dcterms:W3CDTF">2026-07-15T05:24:17Z</dcterms:created>
  <dcterms:modified xsi:type="dcterms:W3CDTF">2026-07-15T05:24:17Z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