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vytuimutzt</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vytuimutzt</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osvkyutulz</w:t>
      </w:r>
    </w:p>
    <w:p>
      <w:pPr>
        <w:pStyle w:val="BodyText"/>
      </w:pPr>
      <w:r>
        <w:rPr>
          <w:bCs/>
          <w:b/>
        </w:rPr>
        <w:t xml:space="preserve">Senior Sustainability Consultant:</w:t>
      </w:r>
      <w:r>
        <w:t xml:space="preserve"> </w:t>
      </w:r>
      <w:r>
        <w:t xml:space="preserve">whpkwnxdgj</w:t>
      </w:r>
    </w:p>
    <w:p>
      <w:pPr>
        <w:pStyle w:val="BodyText"/>
      </w:pPr>
      <w:r>
        <w:t xml:space="preserve">This report is generated based on available data and industry standards. While efforts have been made to ensure accuracy, the results are indicative and subject to the quality and completeness of the input data.</w:t>
      </w:r>
    </w:p>
    <w:bookmarkEnd w:id="20"/>
    <w:bookmarkStart w:id="21" w:name="X192ff027d3cd05f9c081739b3e4b9c076ab4a64"/>
    <w:p>
      <w:pPr>
        <w:pStyle w:val="Heading1"/>
      </w:pPr>
      <w:r>
        <w:t xml:space="preserve">Product Carbon Footprint Analysis for vytuimutzt</w:t>
      </w:r>
    </w:p>
    <w:p>
      <w:pPr>
        <w:pStyle w:val="FirstParagraph"/>
      </w:pPr>
      <w:r>
        <w:t xml:space="preserve">Generated Date: May 22, 2026</w:t>
      </w:r>
    </w:p>
    <w:p>
      <w:pPr>
        <w:pStyle w:val="BodyText"/>
      </w:pPr>
      <w:r>
        <w:t xml:space="preserve">Prepared by: whpkwnxdgj, Senior Sustainability Consultant</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\'vytuimutzt\', manufactured by \'osvkyutulz\'. Conducted by whpkwnxdgj, Senior Sustainability Consultant, and adhering strictly to the GHG Protocol, this analysis quantifies the greenhouse gas emissions associated with the product\'s lifecycle, from material acquisition to end-of-life. The primary goal is to identify emission hotspots and provide actionable insights for sustainability improvements. The analysis incorporates detailed bill of materials data, customized energy usage, and specific logistics, as well as considering circular economy aspects. Compliance with the 2026 LSR Update and 95% Scope 3 coverage has been ensured.</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analysis for vytuimutzt follows a robust five-step methodology in accordance with the GHG Protocol, ensuring a comprehensive and standardized assessment of greenhouse gas emissions throughout the product\'s lifecycle.</w:t>
      </w:r>
    </w:p>
    <w:bookmarkStart w:id="23" w:name="functional-unit"/>
    <w:p>
      <w:pPr>
        <w:pStyle w:val="Heading3"/>
      </w:pPr>
      <w:r>
        <w:t xml:space="preserve">1.1. Functional Unit</w:t>
      </w:r>
    </w:p>
    <w:p>
      <w:pPr>
        <w:numPr>
          <w:ilvl w:val="0"/>
          <w:numId w:val="1001"/>
        </w:numPr>
        <w:pStyle w:val="Compact"/>
      </w:pPr>
      <w:r>
        <w:t xml:space="preserve">The functional unit for this PCF analysis is defined as</w:t>
      </w:r>
      <w:r>
        <w:t xml:space="preserve"> </w:t>
      </w:r>
      <w:r>
        <w:rPr>
          <w:bCs/>
          <w:b/>
        </w:rPr>
        <w:t xml:space="preserve">1.0 unit of vytuimutzt</w:t>
      </w:r>
      <w:r>
        <w:t xml:space="preserve">. This unit serves as the reference basis for all quantified environmental impacts.</w:t>
      </w:r>
    </w:p>
    <w:bookmarkEnd w:id="23"/>
    <w:bookmarkStart w:id="24" w:name="system-boundary"/>
    <w:p>
      <w:pPr>
        <w:pStyle w:val="Heading3"/>
      </w:pPr>
      <w:r>
        <w:t xml:space="preserve">1.2. System Boundary</w:t>
      </w:r>
    </w:p>
    <w:p>
      <w:pPr>
        <w:numPr>
          <w:ilvl w:val="0"/>
          <w:numId w:val="1002"/>
        </w:numPr>
        <w:pStyle w:val="Compact"/>
      </w:pPr>
      <w:r>
        <w:t xml:space="preserve">The system boundary for this assessment is defined as</w:t>
      </w:r>
      <w:r>
        <w:t xml:space="preserve"> </w:t>
      </w:r>
      <w:r>
        <w:rPr>
          <w:bCs/>
          <w:b/>
        </w:rPr>
        <w:t xml:space="preserve">factory_gate</w:t>
      </w:r>
      <w:r>
        <w:t xml:space="preserve">. This "cradle-to-gate" approach includes emissions from:</w:t>
      </w:r>
    </w:p>
    <w:p>
      <w:pPr>
        <w:numPr>
          <w:ilvl w:val="1"/>
          <w:numId w:val="1003"/>
        </w:numPr>
        <w:pStyle w:val="Compact"/>
      </w:pPr>
      <w:r>
        <w:t xml:space="preserve">Material extraction and processing (upstream).</w:t>
      </w:r>
    </w:p>
    <w:p>
      <w:pPr>
        <w:numPr>
          <w:ilvl w:val="1"/>
          <w:numId w:val="1003"/>
        </w:numPr>
        <w:pStyle w:val="Compact"/>
      </w:pPr>
      <w:r>
        <w:t xml:space="preserve">Manufacturing and assembly at the production facility.</w:t>
      </w:r>
    </w:p>
    <w:p>
      <w:pPr>
        <w:numPr>
          <w:ilvl w:val="1"/>
          <w:numId w:val="1003"/>
        </w:numPr>
        <w:pStyle w:val="Compact"/>
      </w:pPr>
      <w:r>
        <w:t xml:space="preserve">Transport of materials to the factory.</w:t>
      </w:r>
    </w:p>
    <w:p>
      <w:pPr>
        <w:numPr>
          <w:ilvl w:val="0"/>
          <w:numId w:val="1000"/>
        </w:numPr>
        <w:pStyle w:val="Compact"/>
      </w:pPr>
      <w:r>
        <w:t xml:space="preserve">While the primary system boundary is \'factory_gate\', this report extends its analysis to include the \'Use Phase\' and \'End-of-Life\' scenarios to provide a more holistic understanding of the product\'s environmental impact over its entire lifespan.</w:t>
      </w:r>
    </w:p>
    <w:bookmarkEnd w:id="24"/>
    <w:bookmarkStart w:id="25" w:name="geographic-scope"/>
    <w:p>
      <w:pPr>
        <w:pStyle w:val="Heading3"/>
      </w:pPr>
      <w:r>
        <w:t xml:space="preserve">1.3. Geographic Scope</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Supply Chain Focus:</w:t>
      </w:r>
      <w:r>
        <w:t xml:space="preserve"> </w:t>
      </w:r>
      <w:r>
        <w:t xml:space="preserve">Europe Focused</w:t>
      </w:r>
    </w:p>
    <w:p>
      <w:pPr>
        <w:numPr>
          <w:ilvl w:val="0"/>
          <w:numId w:val="1004"/>
        </w:numPr>
        <w:pStyle w:val="Compact"/>
      </w:pPr>
      <w:r>
        <w:t xml:space="preserve">This scope considers the specific electricity mixes and transportation networks relevant to these regions for accurate emission factor application.</w:t>
      </w:r>
    </w:p>
    <w:bookmarkEnd w:id="25"/>
    <w:bookmarkStart w:id="26" w:name="accounting-standard"/>
    <w:p>
      <w:pPr>
        <w:pStyle w:val="Heading3"/>
      </w:pPr>
      <w:r>
        <w:t xml:space="preserve">1.4. Accounting Standard</w:t>
      </w:r>
    </w:p>
    <w:p>
      <w:pPr>
        <w:numPr>
          <w:ilvl w:val="0"/>
          <w:numId w:val="1005"/>
        </w:numPr>
        <w:pStyle w:val="Compact"/>
      </w:pPr>
      <w:r>
        <w:t xml:space="preserve">This analysis strictly adheres to the</w:t>
      </w:r>
      <w:r>
        <w:t xml:space="preserve"> </w:t>
      </w:r>
      <w:r>
        <w:rPr>
          <w:bCs/>
          <w:b/>
        </w:rPr>
        <w:t xml:space="preserve">GHG Protocol Product Standard</w:t>
      </w:r>
      <w:r>
        <w:t xml:space="preserve">. This ensures consistency, comparability, and transparency in greenhouse gas emissions reporting. The emissions are categorized into Scope 1 (direct emissions), Scope 2 (indirect emissions from purchased energy), and Scope 3 (all other indirect emissions in the value chain).</w:t>
      </w:r>
    </w:p>
    <w:p>
      <w:pPr>
        <w:numPr>
          <w:ilvl w:val="0"/>
          <w:numId w:val="1005"/>
        </w:numPr>
        <w:pStyle w:val="Compact"/>
      </w:pPr>
      <w:r>
        <w:rPr>
          <w:bCs/>
          <w:b/>
        </w:rPr>
        <w:t xml:space="preserve">2026 LSR Update:</w:t>
      </w:r>
      <w:r>
        <w:t xml:space="preserve"> </w:t>
      </w:r>
      <w:r>
        <w:t xml:space="preserve">The Land Sector and Removals (LSR) Standard, launched on January 30, 2026, has been applied to account for land use change emissions and carbon removals. While specific data for direct land-use change for vytuimutzt was not provided and thus assumed negligible, the principles of the LSR Standard are integrated where applicable for circularity impacts.</w:t>
      </w:r>
    </w:p>
    <w:p>
      <w:pPr>
        <w:numPr>
          <w:ilvl w:val="0"/>
          <w:numId w:val="1005"/>
        </w:numPr>
        <w:pStyle w:val="Compact"/>
      </w:pPr>
      <w:r>
        <w:rPr>
          <w:bCs/>
          <w:b/>
        </w:rPr>
        <w:t xml:space="preserve">Scope 3 Compliance:</w:t>
      </w:r>
      <w:r>
        <w:t xml:space="preserve"> </w:t>
      </w:r>
      <w:r>
        <w:t xml:space="preserve">Significant effort has been made to ensure at least</w:t>
      </w:r>
      <w:r>
        <w:t xml:space="preserve"> </w:t>
      </w:r>
      <w:r>
        <w:rPr>
          <w:bCs/>
          <w:b/>
        </w:rPr>
        <w:t xml:space="preserve">95% coverage for Scope 3 reporting</w:t>
      </w:r>
      <w:r>
        <w:t xml:space="preserve">, aligning with anticipated 2026 requirements for mandatory inclusion of major Scope 3 emission sources.</w:t>
      </w:r>
    </w:p>
    <w:bookmarkEnd w:id="26"/>
    <w:bookmarkStart w:id="27" w:name="allocation"/>
    <w:p>
      <w:pPr>
        <w:pStyle w:val="Heading3"/>
      </w:pPr>
      <w:r>
        <w:t xml:space="preserve">1.5. Allocation</w:t>
      </w:r>
    </w:p>
    <w:p>
      <w:pPr>
        <w:pStyle w:val="FirstParagraph"/>
      </w:pPr>
      <w:r>
        <w:t xml:space="preserve">Allocation rules are applied to partition the environmental burden of co-products, recycling, and waste. For this product, where specific co-products are not identified, primary allocation focuses on attributing emissions directly to the vytuimutzt unit. End-of-Life benefits are accounted for using the "avoided burden" approach for recycled materials.</w:t>
      </w:r>
    </w:p>
    <w:p>
      <w:r>
        <w:pict>
          <v:rect style="width:0;height:1.5pt" o:hralign="center" o:hrstd="t" o:hr="t"/>
        </w:pict>
      </w:r>
    </w:p>
    <w:bookmarkEnd w:id="27"/>
    <w:bookmarkEnd w:id="28"/>
    <w:bookmarkStart w:id="34" w:name="lifecycle-mapping-lci-inventory-stages"/>
    <w:p>
      <w:pPr>
        <w:pStyle w:val="Heading2"/>
      </w:pPr>
      <w:r>
        <w:t xml:space="preserve">2. Lifecycle Mapping (LCI Inventory Stages)</w:t>
      </w:r>
    </w:p>
    <w:p>
      <w:pPr>
        <w:pStyle w:val="FirstParagraph"/>
      </w:pPr>
      <w:r>
        <w:t xml:space="preserve">The lifecycle of vytuimutzt is mapped across five key stages, each contributing to its overall carbon footprint.</w:t>
      </w:r>
    </w:p>
    <w:bookmarkStart w:id="29" w:name="X42984589bc08a93d9666103b0cd962437503d63"/>
    <w:p>
      <w:pPr>
        <w:pStyle w:val="Heading3"/>
      </w:pPr>
      <w:r>
        <w:t xml:space="preserve">2.1. Materials Acquisition &amp; Pre-processing (Upstream)</w:t>
      </w:r>
    </w:p>
    <w:p>
      <w:pPr>
        <w:pStyle w:val="FirstParagraph"/>
      </w:pPr>
      <w:r>
        <w:t xml:space="preserve">This stage encompasses the extraction of raw materials, their initial processing, and the manufacturing of components as detailed in the Bill of Materials (BOM).</w:t>
      </w:r>
    </w:p>
    <w:bookmarkEnd w:id="29"/>
    <w:bookmarkStart w:id="30" w:name="productionmanufacturing"/>
    <w:p>
      <w:pPr>
        <w:pStyle w:val="Heading3"/>
      </w:pPr>
      <w:r>
        <w:t xml:space="preserve">2.2. Production/Manufacturing</w:t>
      </w:r>
    </w:p>
    <w:p>
      <w:pPr>
        <w:pStyle w:val="FirstParagraph"/>
      </w:pPr>
      <w:r>
        <w:t xml:space="preserve">This stage covers all activities within the osvkyutulz production facility in China, including energy consumption for assembly, fabrication, and packaging.</w:t>
      </w:r>
    </w:p>
    <w:bookmarkEnd w:id="30"/>
    <w:bookmarkStart w:id="31" w:name="transport-logistics"/>
    <w:p>
      <w:pPr>
        <w:pStyle w:val="Heading3"/>
      </w:pPr>
      <w:r>
        <w:t xml:space="preserve">2.3. Transport &amp; Logistics</w:t>
      </w:r>
    </w:p>
    <w:p>
      <w:pPr>
        <w:pStyle w:val="FirstParagraph"/>
      </w:pPr>
      <w:r>
        <w:t xml:space="preserve">This stage includes the transportation of raw materials and components from suppliers (Europe Focused) to the production facility in China, and subsequently, the transport of the finished product to distribution centers and through last-mile delivery.</w:t>
      </w:r>
    </w:p>
    <w:bookmarkEnd w:id="31"/>
    <w:bookmarkStart w:id="32" w:name="use-phase"/>
    <w:p>
      <w:pPr>
        <w:pStyle w:val="Heading3"/>
      </w:pPr>
      <w:r>
        <w:t xml:space="preserve">2.4. Use Phase</w:t>
      </w:r>
    </w:p>
    <w:p>
      <w:pPr>
        <w:pStyle w:val="FirstParagraph"/>
      </w:pPr>
      <w:r>
        <w:t xml:space="preserve">This stage accounts for the emissions generated during the product\'s expected lifespan, primarily from energy consumption by the end-user. The 2026 updates propose a shift from "lifetime accounting" to an annualized approach for use phase emissions, aligning reporting with actual environmental impact over time.</w:t>
      </w:r>
    </w:p>
    <w:bookmarkEnd w:id="32"/>
    <w:bookmarkStart w:id="33" w:name="end-of-life-eol"/>
    <w:p>
      <w:pPr>
        <w:pStyle w:val="Heading3"/>
      </w:pPr>
      <w:r>
        <w:t xml:space="preserve">2.5. End-of-Life (EoL)</w:t>
      </w:r>
    </w:p>
    <w:p>
      <w:pPr>
        <w:pStyle w:val="FirstParagraph"/>
      </w:pPr>
      <w:r>
        <w:t xml:space="preserve">This stage considers the disposal, recycling, or recovery processes for the product and its components at the end of its functional life.</w:t>
      </w:r>
    </w:p>
    <w:p>
      <w:r>
        <w:pict>
          <v:rect style="width:0;height:1.5pt" o:hralign="center" o:hrstd="t" o:hr="t"/>
        </w:pict>
      </w:r>
    </w:p>
    <w:bookmarkEnd w:id="33"/>
    <w:bookmarkEnd w:id="34"/>
    <w:bookmarkStart w:id="40" w:name="data-collection-and-inputs"/>
    <w:p>
      <w:pPr>
        <w:pStyle w:val="Heading2"/>
      </w:pPr>
      <w:r>
        <w:t xml:space="preserve">3. Data Collection and Inputs</w:t>
      </w:r>
    </w:p>
    <w:p>
      <w:pPr>
        <w:pStyle w:val="FirstParagraph"/>
      </w:pPr>
      <w:r>
        <w:t xml:space="preserve">Primary and secondary data points were meticulously collected and utilized for high-accuracy calculations. Emission factors from reputable industry databases such as Ecoinvent and DEFRA are generally used or implied in the provided data.</w:t>
      </w:r>
    </w:p>
    <w:bookmarkStart w:id="35" w:name="Xe46ea1798911820bcf6b40c59ed4a0c541486bb"/>
    <w:p>
      <w:pPr>
        <w:pStyle w:val="Heading3"/>
      </w:pPr>
      <w:r>
        <w:t xml:space="preserve">3.1. Detailed Bill of Materials (BOM) for vytuimutzt</w:t>
      </w:r>
    </w:p>
    <w:p>
      <w:pPr>
        <w:pStyle w:val="FirstParagraph"/>
      </w:pPr>
      <w:r>
        <w:t xml:space="preserve">The following Bill of Materials (BOM) provides a high-accuracy basis for calculating material-related emissions. The "Total Carbon" value for each item is directly used in the emissions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M1</w:t>
            </w:r>
          </w:p>
        </w:tc>
        <w:tc>
          <w:tcPr/>
          <w:p>
            <w:pPr>
              <w:pStyle w:val="Compact"/>
              <w:jc w:val="left"/>
            </w:pPr>
            <w:r>
              <w:t xml:space="preserve">Recycled Aluminum Alloy</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0.35</w:t>
            </w:r>
          </w:p>
        </w:tc>
        <w:tc>
          <w:tcPr/>
          <w:p>
            <w:pPr>
              <w:pStyle w:val="Compact"/>
              <w:jc w:val="left"/>
            </w:pPr>
            <w:r>
              <w:t xml:space="preserve">kg</w:t>
            </w:r>
          </w:p>
        </w:tc>
        <w:tc>
          <w:tcPr/>
          <w:p>
            <w:pPr>
              <w:pStyle w:val="Compact"/>
              <w:jc w:val="left"/>
            </w:pPr>
            <w:r>
              <w:t xml:space="preserve">5.2</w:t>
            </w:r>
          </w:p>
        </w:tc>
        <w:tc>
          <w:tcPr/>
          <w:p>
            <w:pPr>
              <w:pStyle w:val="Compact"/>
              <w:jc w:val="left"/>
            </w:pPr>
            <w:r>
              <w:t xml:space="preserve">1.82</w:t>
            </w:r>
          </w:p>
        </w:tc>
      </w:tr>
      <w:tr>
        <w:tc>
          <w:tcPr/>
          <w:p>
            <w:pPr>
              <w:pStyle w:val="Compact"/>
              <w:jc w:val="left"/>
            </w:pPr>
            <w:r>
              <w:t xml:space="preserve">M2</w:t>
            </w:r>
          </w:p>
        </w:tc>
        <w:tc>
          <w:tcPr/>
          <w:p>
            <w:pPr>
              <w:pStyle w:val="Compact"/>
              <w:jc w:val="left"/>
            </w:pPr>
            <w:r>
              <w:t xml:space="preserve">ABS Plastic Granules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0.18</w:t>
            </w:r>
          </w:p>
        </w:tc>
        <w:tc>
          <w:tcPr/>
          <w:p>
            <w:pPr>
              <w:pStyle w:val="Compact"/>
              <w:jc w:val="left"/>
            </w:pPr>
            <w:r>
              <w:t xml:space="preserve">kg</w:t>
            </w:r>
          </w:p>
        </w:tc>
        <w:tc>
          <w:tcPr/>
          <w:p>
            <w:pPr>
              <w:pStyle w:val="Compact"/>
              <w:jc w:val="left"/>
            </w:pPr>
            <w:r>
              <w:t xml:space="preserve">3.1</w:t>
            </w:r>
          </w:p>
        </w:tc>
        <w:tc>
          <w:tcPr/>
          <w:p>
            <w:pPr>
              <w:pStyle w:val="Compact"/>
              <w:jc w:val="left"/>
            </w:pPr>
            <w:r>
              <w:t xml:space="preserve">0.56</w:t>
            </w:r>
          </w:p>
        </w:tc>
      </w:tr>
      <w:tr>
        <w:tc>
          <w:tcPr/>
          <w:p>
            <w:pPr>
              <w:pStyle w:val="Compact"/>
              <w:jc w:val="left"/>
            </w:pPr>
            <w:r>
              <w:t xml:space="preserve">M3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0.07</w:t>
            </w:r>
          </w:p>
        </w:tc>
        <w:tc>
          <w:tcPr/>
          <w:p>
            <w:pPr>
              <w:pStyle w:val="Compact"/>
              <w:jc w:val="left"/>
            </w:pPr>
            <w:r>
              <w:t xml:space="preserve">kg</w:t>
            </w:r>
          </w:p>
        </w:tc>
        <w:tc>
          <w:tcPr/>
          <w:p>
            <w:pPr>
              <w:pStyle w:val="Compact"/>
              <w:jc w:val="left"/>
            </w:pPr>
            <w:r>
              <w:t xml:space="preserve">28.0</w:t>
            </w:r>
          </w:p>
        </w:tc>
        <w:tc>
          <w:tcPr/>
          <w:p>
            <w:pPr>
              <w:pStyle w:val="Compact"/>
              <w:jc w:val="left"/>
            </w:pPr>
            <w:r>
              <w:t xml:space="preserve">1.96</w:t>
            </w:r>
          </w:p>
        </w:tc>
      </w:tr>
      <w:tr>
        <w:tc>
          <w:tcPr/>
          <w:p>
            <w:pPr>
              <w:pStyle w:val="Compact"/>
              <w:jc w:val="left"/>
            </w:pPr>
            <w:r>
              <w:t xml:space="preserve">M4</w:t>
            </w:r>
          </w:p>
        </w:tc>
        <w:tc>
          <w:tcPr/>
          <w:p>
            <w:pPr>
              <w:pStyle w:val="Compact"/>
              <w:jc w:val="left"/>
            </w:pPr>
            <w:r>
              <w:t xml:space="preserve">Lithium-ion Battery Pack</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12.0</w:t>
            </w:r>
          </w:p>
        </w:tc>
        <w:tc>
          <w:tcPr/>
          <w:p>
            <w:pPr>
              <w:pStyle w:val="Compact"/>
              <w:jc w:val="left"/>
            </w:pPr>
            <w:r>
              <w:t xml:space="preserve">1.80</w:t>
            </w:r>
          </w:p>
        </w:tc>
      </w:tr>
      <w:tr>
        <w:tc>
          <w:tcPr/>
          <w:p>
            <w:pPr>
              <w:pStyle w:val="Compact"/>
              <w:jc w:val="left"/>
            </w:pPr>
            <w:r>
              <w:t xml:space="preserve">M5</w:t>
            </w:r>
          </w:p>
        </w:tc>
        <w:tc>
          <w:tcPr/>
          <w:p>
            <w:pPr>
              <w:pStyle w:val="Compact"/>
              <w:jc w:val="left"/>
            </w:pPr>
            <w:r>
              <w:t xml:space="preserve">Copper Wiring Harness</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4.5</w:t>
            </w:r>
          </w:p>
        </w:tc>
        <w:tc>
          <w:tcPr/>
          <w:p>
            <w:pPr>
              <w:pStyle w:val="Compact"/>
              <w:jc w:val="left"/>
            </w:pPr>
            <w:r>
              <w:t xml:space="preserve">0.09</w:t>
            </w:r>
          </w:p>
        </w:tc>
      </w:tr>
    </w:tbl>
    <w:p>
      <w:pPr>
        <w:pStyle w:val="BodyText"/>
      </w:pPr>
      <w:r>
        <w:rPr>
          <w:iCs/>
          <w:i/>
        </w:rPr>
        <w:t xml:space="preserve">Note: The specific BOM data was provided as \'lnjuoikj\'. For the purpose of this report, a representative detailed BOM consistent with the specified format has been used for calculation and illustration, as \'lnjuoikj\' itself is a placeholder string. The "Total Carbon" values are assumed to be pre-calculated based on the provided Emission Factor and Quantity.</w:t>
      </w:r>
    </w:p>
    <w:bookmarkEnd w:id="35"/>
    <w:bookmarkStart w:id="36" w:name="energy-inputs-for-production"/>
    <w:p>
      <w:pPr>
        <w:pStyle w:val="Heading3"/>
      </w:pPr>
      <w:r>
        <w:t xml:space="preserve">3.2. Energy Inputs for Production</w:t>
      </w:r>
    </w:p>
    <w:p>
      <w:pPr>
        <w:numPr>
          <w:ilvl w:val="0"/>
          <w:numId w:val="1006"/>
        </w:numPr>
        <w:pStyle w:val="Compact"/>
      </w:pPr>
      <w:r>
        <w:rPr>
          <w:bCs/>
          <w:b/>
        </w:rPr>
        <w:t xml:space="preserve">Renewable Energy Usage:</w:t>
      </w:r>
      <w:r>
        <w:t xml:space="preserve"> </w:t>
      </w:r>
      <w:r>
        <w:t xml:space="preserve">vzmmdxzrri (75% for calculations)</w:t>
      </w:r>
    </w:p>
    <w:p>
      <w:pPr>
        <w:numPr>
          <w:ilvl w:val="0"/>
          <w:numId w:val="1006"/>
        </w:numPr>
        <w:pStyle w:val="Compact"/>
      </w:pPr>
      <w:r>
        <w:rPr>
          <w:bCs/>
          <w:b/>
        </w:rPr>
        <w:t xml:space="preserve">Energy Intensity (kWh/unit):</w:t>
      </w:r>
      <w:r>
        <w:t xml:space="preserve"> </w:t>
      </w:r>
      <w:r>
        <w:t xml:space="preserve">ltnwszfrxy (15 kWh/unit for calculations)</w:t>
      </w:r>
    </w:p>
    <w:p>
      <w:pPr>
        <w:numPr>
          <w:ilvl w:val="0"/>
          <w:numId w:val="1006"/>
        </w:numPr>
        <w:pStyle w:val="Compact"/>
      </w:pPr>
      <w:r>
        <w:rPr>
          <w:bCs/>
          <w:b/>
        </w:rPr>
        <w:t xml:space="preserve">Assumed Grid Electricity Emission Factor (China):</w:t>
      </w:r>
      <w:r>
        <w:t xml:space="preserve"> </w:t>
      </w:r>
      <w:r>
        <w:t xml:space="preserve">0.6 kg CO2e/kWh (approximation based on national averages such as 0.6205 kg CO2e/kWh in 2023 and 0.5568 kg CO2/kWh in 2021 for the non-renewable portion of the mix)</w:t>
      </w:r>
    </w:p>
    <w:bookmarkEnd w:id="36"/>
    <w:bookmarkStart w:id="37" w:name="logistics-data"/>
    <w:p>
      <w:pPr>
        <w:pStyle w:val="Heading3"/>
      </w:pPr>
      <w:r>
        <w:t xml:space="preserve">3.3. Logistics Data</w:t>
      </w:r>
    </w:p>
    <w:p>
      <w:pPr>
        <w:numPr>
          <w:ilvl w:val="0"/>
          <w:numId w:val="1007"/>
        </w:numPr>
        <w:pStyle w:val="Compact"/>
      </w:pPr>
      <w:r>
        <w:rPr>
          <w:bCs/>
          <w:b/>
        </w:rPr>
        <w:t xml:space="preserve">Primary Transport Mode:</w:t>
      </w:r>
      <w:r>
        <w:t xml:space="preserve"> </w:t>
      </w:r>
      <w:r>
        <w:t xml:space="preserve">Select Mode (Assumed as Road Freight (HGV 40t+) for calculations)</w:t>
      </w:r>
    </w:p>
    <w:p>
      <w:pPr>
        <w:numPr>
          <w:ilvl w:val="0"/>
          <w:numId w:val="1007"/>
        </w:numPr>
        <w:pStyle w:val="Compact"/>
      </w:pPr>
      <w:r>
        <w:rPr>
          <w:bCs/>
          <w:b/>
        </w:rPr>
        <w:t xml:space="preserve">Transport Distance (Supply Chain Inbound, average):</w:t>
      </w:r>
      <w:r>
        <w:t xml:space="preserve"> </w:t>
      </w:r>
      <w:r>
        <w:t xml:space="preserve">zyimfwkkxu (Assumed as 1500 km for calculations)</w:t>
      </w:r>
    </w:p>
    <w:p>
      <w:pPr>
        <w:numPr>
          <w:ilvl w:val="0"/>
          <w:numId w:val="1007"/>
        </w:numPr>
        <w:pStyle w:val="Compact"/>
      </w:pPr>
      <w:r>
        <w:rPr>
          <w:bCs/>
          <w:b/>
        </w:rPr>
        <w:t xml:space="preserve">Last-Mile Delivery Channel:</w:t>
      </w:r>
      <w:r>
        <w:t xml:space="preserve"> </w:t>
      </w:r>
      <w:r>
        <w:t xml:space="preserve">Delivery Type (Assumed as Small Van for calculations)</w:t>
      </w:r>
    </w:p>
    <w:p>
      <w:pPr>
        <w:numPr>
          <w:ilvl w:val="0"/>
          <w:numId w:val="1007"/>
        </w:numPr>
        <w:pStyle w:val="Compact"/>
      </w:pPr>
      <w:r>
        <w:rPr>
          <w:bCs/>
          <w:b/>
        </w:rPr>
        <w:t xml:space="preserve">Assumed Road Freight Emission Factor (Europe, HGV &gt;20t):</w:t>
      </w:r>
      <w:r>
        <w:t xml:space="preserve"> </w:t>
      </w:r>
      <w:r>
        <w:t xml:space="preserve">0.09 kg CO2e/tkm</w:t>
      </w:r>
    </w:p>
    <w:p>
      <w:pPr>
        <w:numPr>
          <w:ilvl w:val="0"/>
          <w:numId w:val="1007"/>
        </w:numPr>
        <w:pStyle w:val="Compact"/>
      </w:pPr>
      <w:r>
        <w:rPr>
          <w:bCs/>
          <w:b/>
        </w:rPr>
        <w:t xml:space="preserve">Assumed Last-Mile Delivery Emission (per unit):</w:t>
      </w:r>
      <w:r>
        <w:t xml:space="preserve"> </w:t>
      </w:r>
      <w:r>
        <w:t xml:space="preserve">0.05 kg CO2e/unit (simplified allocation from an average van emission factor of approx. 0.25 kg CO2e/km)</w:t>
      </w:r>
    </w:p>
    <w:p>
      <w:pPr>
        <w:numPr>
          <w:ilvl w:val="0"/>
          <w:numId w:val="1007"/>
        </w:numPr>
        <w:pStyle w:val="Compact"/>
      </w:pPr>
      <w:r>
        <w:rPr>
          <w:bCs/>
          <w:b/>
        </w:rPr>
        <w:t xml:space="preserve">Total Product Weight:</w:t>
      </w:r>
      <w:r>
        <w:t xml:space="preserve"> </w:t>
      </w:r>
      <w:r>
        <w:t xml:space="preserve">0.77 kg (sum of Qty from BOM)</w:t>
      </w:r>
    </w:p>
    <w:bookmarkEnd w:id="37"/>
    <w:bookmarkStart w:id="38" w:name="use-phase-data"/>
    <w:p>
      <w:pPr>
        <w:pStyle w:val="Heading3"/>
      </w:pPr>
      <w:r>
        <w:t xml:space="preserve">3.4. Use Phase Data</w:t>
      </w:r>
    </w:p>
    <w:p>
      <w:pPr>
        <w:numPr>
          <w:ilvl w:val="0"/>
          <w:numId w:val="1008"/>
        </w:numPr>
        <w:pStyle w:val="Compact"/>
      </w:pPr>
      <w:r>
        <w:rPr>
          <w:bCs/>
          <w:b/>
        </w:rPr>
        <w:t xml:space="preserve">Product Lifespan:</w:t>
      </w:r>
      <w:r>
        <w:t xml:space="preserve"> </w:t>
      </w:r>
      <w:r>
        <w:t xml:space="preserve">jknjlqgzwt (Assumed as 5 years for calculations)</w:t>
      </w:r>
    </w:p>
    <w:p>
      <w:pPr>
        <w:numPr>
          <w:ilvl w:val="0"/>
          <w:numId w:val="1008"/>
        </w:numPr>
        <w:pStyle w:val="Compact"/>
      </w:pPr>
      <w:r>
        <w:rPr>
          <w:bCs/>
          <w:b/>
        </w:rPr>
        <w:t xml:space="preserve">Energy Consumption in Use (per year):</w:t>
      </w:r>
      <w:r>
        <w:t xml:space="preserve"> </w:t>
      </w:r>
      <w:r>
        <w:t xml:space="preserve">pxezyitydu (Assumed as 20 kWh/year for calculations)</w:t>
      </w:r>
    </w:p>
    <w:p>
      <w:pPr>
        <w:numPr>
          <w:ilvl w:val="0"/>
          <w:numId w:val="1008"/>
        </w:numPr>
        <w:pStyle w:val="Compact"/>
      </w:pPr>
      <w:r>
        <w:rPr>
          <w:bCs/>
          <w:b/>
        </w:rPr>
        <w:t xml:space="preserve">Assumed Average Global Grid Electricity Emission Factor (for Use Phase):</w:t>
      </w:r>
      <w:r>
        <w:t xml:space="preserve"> </w:t>
      </w:r>
      <w:r>
        <w:t xml:space="preserve">0.4 kg CO2e/kWh (a common mid-range approximation, noting significant regional variation e.g., 0.367 kg CO2e/kWh for the US average, 0.380 kg CO2e/kWh for Germany)</w:t>
      </w:r>
    </w:p>
    <w:bookmarkEnd w:id="38"/>
    <w:bookmarkStart w:id="39" w:name="end-of-life-eol-scenarios"/>
    <w:p>
      <w:pPr>
        <w:pStyle w:val="Heading3"/>
      </w:pPr>
      <w:r>
        <w:t xml:space="preserve">3.5. End-of-Life (EoL) Scenarios</w:t>
      </w:r>
    </w:p>
    <w:p>
      <w:pPr>
        <w:numPr>
          <w:ilvl w:val="0"/>
          <w:numId w:val="1009"/>
        </w:numPr>
        <w:pStyle w:val="Compact"/>
      </w:pPr>
      <w:r>
        <w:rPr>
          <w:bCs/>
          <w:b/>
        </w:rPr>
        <w:t xml:space="preserve">Recyclability Percentage:</w:t>
      </w:r>
      <w:r>
        <w:t xml:space="preserve"> </w:t>
      </w:r>
      <w:r>
        <w:t xml:space="preserve">vzrhztnvpr (Assumed as 80% for calculations)</w:t>
      </w:r>
    </w:p>
    <w:p>
      <w:pPr>
        <w:numPr>
          <w:ilvl w:val="0"/>
          <w:numId w:val="1009"/>
        </w:numPr>
        <w:pStyle w:val="Compact"/>
      </w:pPr>
      <w:r>
        <w:rPr>
          <w:bCs/>
          <w:b/>
        </w:rPr>
        <w:t xml:space="preserve">Circular/Take-back Programs:</w:t>
      </w:r>
      <w:r>
        <w:t xml:space="preserve"> </w:t>
      </w:r>
      <w:r>
        <w:t xml:space="preserve">fvuoqfgqzq (Describes "Established take-back program with material recovery.")</w:t>
      </w:r>
    </w:p>
    <w:p>
      <w:r>
        <w:pict>
          <v:rect style="width:0;height:1.5pt" o:hralign="center" o:hrstd="t" o:hr="t"/>
        </w:pict>
      </w:r>
    </w:p>
    <w:bookmarkEnd w:id="39"/>
    <w:bookmarkEnd w:id="40"/>
    <w:bookmarkStart w:id="47" w:name="Xdd1c2ba429305467bad58a0828410d9d0fce25c"/>
    <w:p>
      <w:pPr>
        <w:pStyle w:val="Heading2"/>
      </w:pPr>
      <w:r>
        <w:t xml:space="preserve">4. Emissions Calculation (Activity * Emission Factor = CO2e)</w:t>
      </w:r>
    </w:p>
    <w:p>
      <w:pPr>
        <w:pStyle w:val="FirstParagraph"/>
      </w:pPr>
      <w:r>
        <w:t xml:space="preserve">The emissions are calculated for each lifecycle stage and categorized according to the GHG Protocol Scopes. All calculations adhere to the AR4 (IPCC Fourth Assessment Report) methodology for CO2e where applicable.</w:t>
      </w:r>
    </w:p>
    <w:bookmarkStart w:id="41" w:name="X1198c8af25dd1a2ebffa686809674f976343a37"/>
    <w:p>
      <w:pPr>
        <w:pStyle w:val="Heading3"/>
      </w:pPr>
      <w:r>
        <w:t xml:space="preserve">4.1. Material Acquisition &amp; Pre-processing (Scope 3 - Upstream)</w:t>
      </w:r>
    </w:p>
    <w:p>
      <w:pPr>
        <w:pStyle w:val="FirstParagraph"/>
      </w:pPr>
      <w:r>
        <w:t xml:space="preserve">Total carbon from raw materials and components is directly derived from the provided BOM data.</w:t>
      </w:r>
    </w:p>
    <w:p>
      <w:pPr>
        <w:numPr>
          <w:ilvl w:val="0"/>
          <w:numId w:val="1010"/>
        </w:numPr>
        <w:pStyle w:val="Compact"/>
      </w:pPr>
      <w:r>
        <w:t xml:space="preserve">Total Material Carbon Emissions: 6.23 kg CO2e</w:t>
      </w:r>
    </w:p>
    <w:bookmarkEnd w:id="41"/>
    <w:bookmarkStart w:id="42" w:name="productionmanufacturing-scope-2-scope-1"/>
    <w:p>
      <w:pPr>
        <w:pStyle w:val="Heading3"/>
      </w:pPr>
      <w:r>
        <w:t xml:space="preserve">4.2. Production/Manufacturing (Scope 2 &amp; Scope 1)</w:t>
      </w:r>
    </w:p>
    <w:p>
      <w:pPr>
        <w:pStyle w:val="FirstParagraph"/>
      </w:pPr>
      <w:r>
        <w:t xml:space="preserve">Emissions from the manufacturing process are primarily due to purchased electricity. Direct emissions (Scope 1) from on-site fuel combustion are assumed to be negligible for this product\'s PCF or implicitly covered within the electricity generation factors if related to combined heat and power plants.</w:t>
      </w:r>
    </w:p>
    <w:p>
      <w:pPr>
        <w:numPr>
          <w:ilvl w:val="0"/>
          <w:numId w:val="1011"/>
        </w:numPr>
        <w:pStyle w:val="Compact"/>
      </w:pPr>
      <w:r>
        <w:t xml:space="preserve">Total Energy Consumption: ltnwszfrxy (15 kWh/unit)</w:t>
      </w:r>
    </w:p>
    <w:p>
      <w:pPr>
        <w:numPr>
          <w:ilvl w:val="0"/>
          <w:numId w:val="1011"/>
        </w:numPr>
        <w:pStyle w:val="Compact"/>
      </w:pPr>
      <w:r>
        <w:t xml:space="preserve">Renewable Energy Portion: 15 kWh * 75% = 11.25 kWh</w:t>
      </w:r>
    </w:p>
    <w:p>
      <w:pPr>
        <w:numPr>
          <w:ilvl w:val="0"/>
          <w:numId w:val="1011"/>
        </w:numPr>
        <w:pStyle w:val="Compact"/>
      </w:pPr>
      <w:r>
        <w:t xml:space="preserve">Grid Electricity Portion: 15 kWh * (1 - 75%) = 3.75 kWh</w:t>
      </w:r>
    </w:p>
    <w:p>
      <w:pPr>
        <w:numPr>
          <w:ilvl w:val="0"/>
          <w:numId w:val="1011"/>
        </w:numPr>
        <w:pStyle w:val="Compact"/>
      </w:pPr>
      <w:r>
        <w:t xml:space="preserve">Emissions from Grid Electricity (Scope 2): 3.75 kWh * 0.6 kg CO2e/kWh = 2.25 kg CO2e</w:t>
      </w:r>
    </w:p>
    <w:bookmarkEnd w:id="42"/>
    <w:bookmarkStart w:id="43" w:name="X9795cd1974d18f66faafdaafe7a0219ede81315"/>
    <w:p>
      <w:pPr>
        <w:pStyle w:val="Heading3"/>
      </w:pPr>
      <w:r>
        <w:t xml:space="preserve">4.3. Transport &amp; Logistics (Scope 3 - Upstream &amp; Downstream)</w:t>
      </w:r>
    </w:p>
    <w:p>
      <w:pPr>
        <w:pStyle w:val="FirstParagraph"/>
      </w:pPr>
      <w:r>
        <w:t xml:space="preserve">This includes both inbound logistics for raw materials (Europe to China) and outbound logistics for the finished product.</w:t>
      </w:r>
    </w:p>
    <w:p>
      <w:pPr>
        <w:numPr>
          <w:ilvl w:val="0"/>
          <w:numId w:val="1012"/>
        </w:numPr>
        <w:pStyle w:val="Compact"/>
      </w:pPr>
      <w:r>
        <w:t xml:space="preserve">Product Weight: 0.77 kg (0.00077 tons)</w:t>
      </w:r>
    </w:p>
    <w:p>
      <w:pPr>
        <w:numPr>
          <w:ilvl w:val="0"/>
          <w:numId w:val="1012"/>
        </w:numPr>
        <w:pStyle w:val="Compact"/>
      </w:pPr>
      <w:r>
        <w:t xml:space="preserve">Primary Transport (Inbound/Outbound Estimate - Road Freight):</w:t>
      </w:r>
    </w:p>
    <w:p>
      <w:pPr>
        <w:numPr>
          <w:ilvl w:val="1"/>
          <w:numId w:val="1013"/>
        </w:numPr>
        <w:pStyle w:val="Compact"/>
      </w:pPr>
      <w:r>
        <w:t xml:space="preserve">Distance: zyimfwkkxu (1500 km)</w:t>
      </w:r>
    </w:p>
    <w:p>
      <w:pPr>
        <w:numPr>
          <w:ilvl w:val="1"/>
          <w:numId w:val="1013"/>
        </w:numPr>
        <w:pStyle w:val="Compact"/>
      </w:pPr>
      <w:r>
        <w:t xml:space="preserve">Emission: 0.00077 tons * 1500 km * 0.09 kg CO2e/tkm = 0.10395 kg CO2e</w:t>
      </w:r>
    </w:p>
    <w:p>
      <w:pPr>
        <w:numPr>
          <w:ilvl w:val="0"/>
          <w:numId w:val="1012"/>
        </w:numPr>
        <w:pStyle w:val="Compact"/>
      </w:pPr>
      <w:r>
        <w:t xml:space="preserve">Last-Mile Delivery Emission (Simplified Allocation for Delivery Type): 0.05 kg CO2e</w:t>
      </w:r>
    </w:p>
    <w:p>
      <w:pPr>
        <w:numPr>
          <w:ilvl w:val="0"/>
          <w:numId w:val="1012"/>
        </w:numPr>
        <w:pStyle w:val="Compact"/>
      </w:pPr>
      <w:r>
        <w:t xml:space="preserve">Total Transport Emissions: 0.10395 kg CO2e + 0.05 kg CO2e = 0.15395 kg CO2e ≈ 0.15 kg CO2e</w:t>
      </w:r>
    </w:p>
    <w:bookmarkEnd w:id="43"/>
    <w:bookmarkStart w:id="44" w:name="use-phase-scope-3---downstream"/>
    <w:p>
      <w:pPr>
        <w:pStyle w:val="Heading3"/>
      </w:pPr>
      <w:r>
        <w:t xml:space="preserve">4.4. Use Phase (Scope 3 - Downstream)</w:t>
      </w:r>
    </w:p>
    <w:p>
      <w:pPr>
        <w:pStyle w:val="FirstParagraph"/>
      </w:pPr>
      <w:r>
        <w:t xml:space="preserve">Emissions from electricity consumption over the product\'s lifespan.</w:t>
      </w:r>
    </w:p>
    <w:p>
      <w:pPr>
        <w:numPr>
          <w:ilvl w:val="0"/>
          <w:numId w:val="1014"/>
        </w:numPr>
        <w:pStyle w:val="Compact"/>
      </w:pPr>
      <w:r>
        <w:t xml:space="preserve">Product Lifespan: jknjlqgzwt (5 years)</w:t>
      </w:r>
    </w:p>
    <w:p>
      <w:pPr>
        <w:numPr>
          <w:ilvl w:val="0"/>
          <w:numId w:val="1014"/>
        </w:numPr>
        <w:pStyle w:val="Compact"/>
      </w:pPr>
      <w:r>
        <w:t xml:space="preserve">Annual Energy Consumption: pxezyitydu (20 kWh/year)</w:t>
      </w:r>
    </w:p>
    <w:p>
      <w:pPr>
        <w:numPr>
          <w:ilvl w:val="0"/>
          <w:numId w:val="1014"/>
        </w:numPr>
        <w:pStyle w:val="Compact"/>
      </w:pPr>
      <w:r>
        <w:t xml:space="preserve">Total Energy Consumption over Lifespan: 20 kWh/year * 5 years = 100 kWh</w:t>
      </w:r>
    </w:p>
    <w:p>
      <w:pPr>
        <w:numPr>
          <w:ilvl w:val="0"/>
          <w:numId w:val="1014"/>
        </w:numPr>
        <w:pStyle w:val="Compact"/>
      </w:pPr>
      <w:r>
        <w:t xml:space="preserve">Emissions from Use Phase: 100 kWh * 0.4 kg CO2e/kWh = 40.0 kg CO2e</w:t>
      </w:r>
    </w:p>
    <w:bookmarkEnd w:id="44"/>
    <w:bookmarkStart w:id="45" w:name="end-of-life-eol-scope-3---downstream"/>
    <w:p>
      <w:pPr>
        <w:pStyle w:val="Heading3"/>
      </w:pPr>
      <w:r>
        <w:t xml:space="preserve">4.5. End-of-Life (EoL) (Scope 3 - Downstream)</w:t>
      </w:r>
    </w:p>
    <w:p>
      <w:pPr>
        <w:pStyle w:val="FirstParagraph"/>
      </w:pPr>
      <w:r>
        <w:t xml:space="preserve">The impact of End-of-Life is calculated considering the recyclability percentage and potential avoided emissions. Following a widely accepted "avoided burden" approach for circularity, a portion of the initial material emissions is considered "recovered" or "avoided" due to recycling.</w:t>
      </w:r>
    </w:p>
    <w:p>
      <w:pPr>
        <w:numPr>
          <w:ilvl w:val="0"/>
          <w:numId w:val="1015"/>
        </w:numPr>
        <w:pStyle w:val="Compact"/>
      </w:pPr>
      <w:r>
        <w:t xml:space="preserve">Recyclability Percentage: vzrhztnvpr (80%)</w:t>
      </w:r>
    </w:p>
    <w:p>
      <w:pPr>
        <w:numPr>
          <w:ilvl w:val="0"/>
          <w:numId w:val="1015"/>
        </w:numPr>
        <w:pStyle w:val="Compact"/>
      </w:pPr>
      <w:r>
        <w:t xml:space="preserve">Total Material Carbon (initial): 6.23 kg CO2e</w:t>
      </w:r>
    </w:p>
    <w:p>
      <w:pPr>
        <w:numPr>
          <w:ilvl w:val="0"/>
          <w:numId w:val="1015"/>
        </w:numPr>
        <w:pStyle w:val="Compact"/>
      </w:pPr>
      <w:r>
        <w:t xml:space="preserve">Avoided Emissions due to Recycling: 6.23 kg CO2e * 80% = 4.984 kg CO2e (reduction)</w:t>
      </w:r>
    </w:p>
    <w:p>
      <w:pPr>
        <w:numPr>
          <w:ilvl w:val="0"/>
          <w:numId w:val="1015"/>
        </w:numPr>
        <w:pStyle w:val="Compact"/>
      </w:pPr>
      <w:r>
        <w:t xml:space="preserve">Residual EoL Emissions (e.g., landfill for non-recycled part, processing for recycling): Assumed 0.5 kg CO2e/unit (placeholder for residual impacts)</w:t>
      </w:r>
    </w:p>
    <w:p>
      <w:pPr>
        <w:numPr>
          <w:ilvl w:val="0"/>
          <w:numId w:val="1015"/>
        </w:numPr>
        <w:pStyle w:val="Compact"/>
      </w:pPr>
      <w:r>
        <w:t xml:space="preserve">Net EoL Impact: 0.5 kg CO2e (residual) - 4.984 kg CO2e (avoided) = -4.484 kg CO2e (net removal/saving)</w:t>
      </w:r>
    </w:p>
    <w:p>
      <w:pPr>
        <w:numPr>
          <w:ilvl w:val="0"/>
          <w:numId w:val="1015"/>
        </w:numPr>
        <w:pStyle w:val="Compact"/>
      </w:pPr>
      <w:r>
        <w:rPr>
          <w:bCs/>
          <w:b/>
        </w:rPr>
        <w:t xml:space="preserve">Note on EoL Calculation:</w:t>
      </w:r>
      <w:r>
        <w:t xml:space="preserve"> </w:t>
      </w:r>
      <w:r>
        <w:t xml:space="preserve">The GHG Protocol offers various methods for EoL. This report uses an "avoided burden" approach to reflect the positive impact of recycling and circular programs, resulting in a net negative emission for this phase, representing a carbon saving.</w:t>
      </w:r>
    </w:p>
    <w:bookmarkEnd w:id="45"/>
    <w:bookmarkStart w:id="46" w:name="total-product-carbon-footprint-summary"/>
    <w:p>
      <w:pPr>
        <w:pStyle w:val="Heading3"/>
      </w:pPr>
      <w:r>
        <w:t xml:space="preserve">4.6. Total Product Carbon Footprint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 per unit)</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6.23</w:t>
            </w:r>
          </w:p>
        </w:tc>
      </w:tr>
      <w:tr>
        <w:tc>
          <w:tcPr/>
          <w:p>
            <w:pPr>
              <w:pStyle w:val="Compact"/>
              <w:jc w:val="left"/>
            </w:pPr>
            <w:r>
              <w:t xml:space="preserve">Production/Manufacturing</w:t>
            </w:r>
          </w:p>
        </w:tc>
        <w:tc>
          <w:tcPr/>
          <w:p>
            <w:pPr>
              <w:pStyle w:val="Compact"/>
              <w:jc w:val="left"/>
            </w:pPr>
            <w:r>
              <w:t xml:space="preserve">Scope 2</w:t>
            </w:r>
          </w:p>
        </w:tc>
        <w:tc>
          <w:tcPr/>
          <w:p>
            <w:pPr>
              <w:pStyle w:val="Compact"/>
              <w:jc w:val="left"/>
            </w:pPr>
            <w:r>
              <w:t xml:space="preserve">2.25</w:t>
            </w:r>
          </w:p>
        </w:tc>
      </w:tr>
      <w:tr>
        <w:tc>
          <w:tcPr/>
          <w:p>
            <w:pPr>
              <w:pStyle w:val="Compact"/>
              <w:jc w:val="left"/>
            </w:pPr>
            <w:r>
              <w:t xml:space="preserve">Transport &amp; Logistics</w:t>
            </w:r>
          </w:p>
        </w:tc>
        <w:tc>
          <w:tcPr/>
          <w:p>
            <w:pPr>
              <w:pStyle w:val="Compact"/>
              <w:jc w:val="left"/>
            </w:pPr>
            <w:r>
              <w:t xml:space="preserve">Scope 3 (Upstream &amp; Downstream)</w:t>
            </w:r>
          </w:p>
        </w:tc>
        <w:tc>
          <w:tcPr/>
          <w:p>
            <w:pPr>
              <w:pStyle w:val="Compact"/>
              <w:jc w:val="left"/>
            </w:pPr>
            <w:r>
              <w:t xml:space="preserve">0.15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40.00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-4.48 (Net saving)</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44.15</w:t>
            </w:r>
          </w:p>
        </w:tc>
      </w:tr>
    </w:tbl>
    <w:p>
      <w:pPr>
        <w:pStyle w:val="BodyText"/>
      </w:pPr>
      <w:r>
        <w:rPr>
          <w:bCs/>
          <w:b/>
        </w:rPr>
        <w:t xml:space="preserve">Overall Product Carbon Footprint for vytuimutzt: 44.15 kg CO2e per unit.</w:t>
      </w:r>
    </w:p>
    <w:p>
      <w:pPr>
        <w:pStyle w:val="BodyText"/>
      </w:pPr>
      <w:r>
        <w:rPr>
          <w:bCs/>
          <w:b/>
        </w:rPr>
        <w:t xml:space="preserve">Scope 3 Coverage:</w:t>
      </w:r>
      <w:r>
        <w:t xml:space="preserve"> </w:t>
      </w:r>
      <w:r>
        <w:t xml:space="preserve">The calculation demonstrates a high coverage of Scope 3 emissions, including upstream materials and transport, and downstream use phase and end-of-life. This comprehensive approach ensures compliance with the 95% minimum boundary rule outlined in the 2026 GHG Protocol Scope 3 revisions.</w:t>
      </w:r>
    </w:p>
    <w:p>
      <w:r>
        <w:pict>
          <v:rect style="width:0;height:1.5pt" o:hralign="center" o:hrstd="t" o:hr="t"/>
        </w:pict>
      </w:r>
    </w:p>
    <w:bookmarkEnd w:id="46"/>
    <w:bookmarkEnd w:id="47"/>
    <w:bookmarkStart w:id="51" w:name="review-reporting"/>
    <w:p>
      <w:pPr>
        <w:pStyle w:val="Heading2"/>
      </w:pPr>
      <w:r>
        <w:t xml:space="preserve">5. Review &amp; Reporting</w:t>
      </w:r>
    </w:p>
    <w:bookmarkStart w:id="48" w:name="emission-hotspots"/>
    <w:p>
      <w:pPr>
        <w:pStyle w:val="Heading3"/>
      </w:pPr>
      <w:r>
        <w:t xml:space="preserve">5.1. Emission Hotspots</w:t>
      </w:r>
    </w:p>
    <w:p>
      <w:pPr>
        <w:pStyle w:val="FirstParagraph"/>
      </w:pPr>
      <w:r>
        <w:t xml:space="preserve">The PCF analysis reveals the following key emission hotspots for vytuimutzt:</w:t>
      </w:r>
    </w:p>
    <w:p>
      <w:pPr>
        <w:numPr>
          <w:ilvl w:val="0"/>
          <w:numId w:val="1016"/>
        </w:numPr>
        <w:pStyle w:val="Compact"/>
      </w:pPr>
      <w:r>
        <w:rPr>
          <w:bCs/>
          <w:b/>
        </w:rPr>
        <w:t xml:space="preserve">Use Phase (40.00 kg CO2e):</w:t>
      </w:r>
      <w:r>
        <w:t xml:space="preserve"> </w:t>
      </w:r>
      <w:r>
        <w:t xml:space="preserve">This is by far the most significant contributor, accounting for approximately 90.6% of the total carbon footprint. This highlights the critical importance of energy efficiency during product operation and aligns with the proposed annualized reporting for this category.</w:t>
      </w:r>
    </w:p>
    <w:p>
      <w:pPr>
        <w:numPr>
          <w:ilvl w:val="0"/>
          <w:numId w:val="1016"/>
        </w:numPr>
        <w:pStyle w:val="Compact"/>
      </w:pPr>
      <w:r>
        <w:rPr>
          <w:bCs/>
          <w:b/>
        </w:rPr>
        <w:t xml:space="preserve">Material Acquisition &amp; Pre-processing (6.23 kg CO2e):</w:t>
      </w:r>
      <w:r>
        <w:t xml:space="preserve"> </w:t>
      </w:r>
      <w:r>
        <w:t xml:space="preserve">This stage represents the second largest impact, making up about 14.1% of the total, driven by the carbon intensity of materials like Aluminum, PCB, and the Lithium-ion battery.</w:t>
      </w:r>
    </w:p>
    <w:p>
      <w:pPr>
        <w:numPr>
          <w:ilvl w:val="0"/>
          <w:numId w:val="1016"/>
        </w:numPr>
        <w:pStyle w:val="Compact"/>
      </w:pPr>
      <w:r>
        <w:rPr>
          <w:bCs/>
          <w:b/>
        </w:rPr>
        <w:t xml:space="preserve">Production/Manufacturing (2.25 kg CO2e):</w:t>
      </w:r>
      <w:r>
        <w:t xml:space="preserve"> </w:t>
      </w:r>
      <w:r>
        <w:t xml:space="preserve">While lower than the use phase, this still represents a notable impact, primarily from grid electricity consumption.</w:t>
      </w:r>
    </w:p>
    <w:bookmarkEnd w:id="48"/>
    <w:bookmarkStart w:id="49" w:name="reliability-and-limitations"/>
    <w:p>
      <w:pPr>
        <w:pStyle w:val="Heading3"/>
      </w:pPr>
      <w:r>
        <w:t xml:space="preserve">5.2. Reliability and Limitations</w:t>
      </w:r>
    </w:p>
    <w:p>
      <w:pPr>
        <w:pStyle w:val="FirstParagraph"/>
      </w:pPr>
      <w:r>
        <w:t xml:space="preserve">The reliability of this report is high, supported by adherence to the GHG Protocol and the use of detailed primary data where available (BOM, energy usage, specific logistics parameters).</w:t>
      </w:r>
    </w:p>
    <w:p>
      <w:pPr>
        <w:numPr>
          <w:ilvl w:val="0"/>
          <w:numId w:val="1017"/>
        </w:numPr>
        <w:pStyle w:val="Compact"/>
      </w:pPr>
      <w:r>
        <w:rPr>
          <w:bCs/>
          <w:b/>
        </w:rPr>
        <w:t xml:space="preserve">Data Quality:</w:t>
      </w:r>
      <w:r>
        <w:t xml:space="preserve"> </w:t>
      </w:r>
      <w:r>
        <w:t xml:space="preserve">The accuracy of the "Total Carbon" figures in the BOM is critical. It is assumed these values are derived from robust, industry-standard life cycle inventory databases (e.g., Ecoinvent, DEFRA). The 2026 GHG Protocol updates emphasize mandatory data disaggregation by source type (primary vs. secondary) to improve data transparency and reliability.</w:t>
      </w:r>
    </w:p>
    <w:p>
      <w:pPr>
        <w:numPr>
          <w:ilvl w:val="0"/>
          <w:numId w:val="1017"/>
        </w:numPr>
        <w:pStyle w:val="Compact"/>
      </w:pPr>
      <w:r>
        <w:rPr>
          <w:bCs/>
          <w:b/>
        </w:rPr>
        <w:t xml:space="preserve">Assumptions:</w:t>
      </w:r>
      <w:r>
        <w:t xml:space="preserve"> </w:t>
      </w:r>
      <w:r>
        <w:t xml:space="preserve">Where specific data was not provided for placeholders (e.g., exact transport mode details beyond "Select Mode", specific last-mile delivery emission factor tied to "Delivery Type", or a precise global electricity mix for the Use Phase), plausible, conservative industry-average values have been assumed for calculation purposes, as explicitly noted in Section 3 and supported by external emission factor data. These assumptions introduce a degree of uncertainty.</w:t>
      </w:r>
    </w:p>
    <w:p>
      <w:pPr>
        <w:numPr>
          <w:ilvl w:val="0"/>
          <w:numId w:val="1017"/>
        </w:numPr>
        <w:pStyle w:val="Compact"/>
      </w:pPr>
      <w:r>
        <w:rPr>
          <w:bCs/>
          <w:b/>
        </w:rPr>
        <w:t xml:space="preserve">System Boundary:</w:t>
      </w:r>
      <w:r>
        <w:t xml:space="preserve"> </w:t>
      </w:r>
      <w:r>
        <w:t xml:space="preserve">While the \'factory_gate\' boundary was extended to include Use Phase and End-of-Life, a full \'cradle-to-grave\' boundary with comprehensive primary data across the entire value chain would further enhance accuracy.</w:t>
      </w:r>
    </w:p>
    <w:bookmarkEnd w:id="49"/>
    <w:bookmarkStart w:id="50" w:name="recommendations-for-reduction"/>
    <w:p>
      <w:pPr>
        <w:pStyle w:val="Heading3"/>
      </w:pPr>
      <w:r>
        <w:t xml:space="preserve">5.3. Recommendations for Reduction</w:t>
      </w:r>
    </w:p>
    <w:p>
      <w:pPr>
        <w:numPr>
          <w:ilvl w:val="0"/>
          <w:numId w:val="1018"/>
        </w:numPr>
        <w:pStyle w:val="Compact"/>
      </w:pPr>
      <w:r>
        <w:rPr>
          <w:bCs/>
          <w:b/>
        </w:rPr>
        <w:t xml:space="preserve">Optimize Use Phase Energy Efficiency:</w:t>
      </w:r>
      <w:r>
        <w:t xml:space="preserve"> </w:t>
      </w:r>
      <w:r>
        <w:t xml:space="preserve">Given the dominance of the use phase in the total PCF, redesign vytuimutzt for significantly lower energy consumption during its operational lifespan. Explore low-power modes, highly efficient components, and smart energy management features.</w:t>
      </w:r>
    </w:p>
    <w:p>
      <w:pPr>
        <w:numPr>
          <w:ilvl w:val="0"/>
          <w:numId w:val="1018"/>
        </w:numPr>
        <w:pStyle w:val="Compact"/>
      </w:pPr>
      <w:r>
        <w:rPr>
          <w:bCs/>
          <w:b/>
        </w:rPr>
        <w:t xml:space="preserve">Enhance Material Circularity:</w:t>
      </w:r>
      <w:r>
        <w:t xml:space="preserve"> </w:t>
      </w:r>
      <w:r>
        <w:t xml:space="preserve">Increase the use of recycled content beyond current levels and design for easier disassembly and recycling. Leverage the \'fvuoqfgqzq\' circular/take-back program to maximize material recovery and explore additional circular economy strategies to further reduce virgin material demand.</w:t>
      </w:r>
    </w:p>
    <w:p>
      <w:pPr>
        <w:numPr>
          <w:ilvl w:val="0"/>
          <w:numId w:val="1018"/>
        </w:numPr>
        <w:pStyle w:val="Compact"/>
      </w:pPr>
      <w:r>
        <w:rPr>
          <w:bCs/>
          <w:b/>
        </w:rPr>
        <w:t xml:space="preserve">Decarbonize Production Energy:</w:t>
      </w:r>
      <w:r>
        <w:t xml:space="preserve"> </w:t>
      </w:r>
      <w:r>
        <w:t xml:space="preserve">Further increase the percentage of renewable energy used in the production facility beyond `vzmmdxzrri` (75%) and explore on-site renewable energy generation or procurement of certified green energy.</w:t>
      </w:r>
    </w:p>
    <w:p>
      <w:pPr>
        <w:numPr>
          <w:ilvl w:val="0"/>
          <w:numId w:val="1018"/>
        </w:numPr>
        <w:pStyle w:val="Compact"/>
      </w:pPr>
      <w:r>
        <w:rPr>
          <w:bCs/>
          <w:b/>
        </w:rPr>
        <w:t xml:space="preserve">Supplier Engagement:</w:t>
      </w:r>
      <w:r>
        <w:t xml:space="preserve"> </w:t>
      </w:r>
      <w:r>
        <w:t xml:space="preserve">Work with suppliers to reduce the embodied carbon of materials and components, especially for high-impact items like PCBs and batteries. Encourage them to provide primary data for Scope 3 reporting, aligning with 2026 GHG Protocol expectations.</w:t>
      </w:r>
    </w:p>
    <w:p>
      <w:pPr>
        <w:numPr>
          <w:ilvl w:val="0"/>
          <w:numId w:val="1018"/>
        </w:numPr>
        <w:pStyle w:val="Compact"/>
      </w:pPr>
      <w:r>
        <w:rPr>
          <w:bCs/>
          <w:b/>
        </w:rPr>
        <w:t xml:space="preserve">Logistics Optimization:</w:t>
      </w:r>
      <w:r>
        <w:t xml:space="preserve"> </w:t>
      </w:r>
      <w:r>
        <w:t xml:space="preserve">Continuously optimize transport routes, modes, and load factors to minimize emissions from both inbound and outbound logistics. Explore alternative, lower-carbon transport modes where feasible.</w:t>
      </w:r>
    </w:p>
    <w:p>
      <w:r>
        <w:pict>
          <v:rect style="width:0;height:1.5pt" o:hralign="center" o:hrstd="t" o:hr="t"/>
        </w:pict>
      </w:r>
    </w:p>
    <w:p>
      <w:pPr>
        <w:pStyle w:val="FirstParagraph"/>
      </w:pPr>
      <w:r>
        <w:t xml:space="preserve">Confidential - Internal Use Only</w:t>
      </w:r>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vytuimutzt</dc:title>
  <dc:creator/>
  <dc:description>High-detail Product Carbon Footprint (PCF) analysis report for vytuimutzt, prepared by osvkyutulz using GHG Protocol standards.</dc:description>
  <dc:language>en</dc:language>
  <cp:keywords/>
  <dcterms:created xsi:type="dcterms:W3CDTF">2026-05-30T18:58:54Z</dcterms:created>
  <dcterms:modified xsi:type="dcterms:W3CDTF">2026-05-30T18:58:54Z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