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vytozvzvvr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vytozvzvvr</w:t>
      </w:r>
    </w:p>
    <w:p>
      <w:pPr>
        <w:pStyle w:val="BodyText"/>
      </w:pPr>
      <w:r>
        <w:rPr>
          <w:bCs/>
          <w:b/>
        </w:rPr>
        <w:t xml:space="preserve">Company:</w:t>
      </w:r>
      <w:r>
        <w:t xml:space="preserve"> </w:t>
      </w:r>
      <w:r>
        <w:t xml:space="preserve">qdvoyylvmd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wyiqkooqqu</w:t>
      </w:r>
    </w:p>
    <w:p>
      <w:pPr>
        <w:pStyle w:val="BodyText"/>
      </w:pPr>
      <w:r>
        <w:t xml:space="preserve">Disclaimer: This report is generated based on available data and industry standards. Actual emissions may vary based on specific operational details and evolving methodologies.</w:t>
      </w:r>
    </w:p>
    <w:bookmarkEnd w:id="20"/>
    <w:bookmarkStart w:id="40" w:name="Xf096c961952793d82ed74708783a0af417b845b"/>
    <w:p>
      <w:pPr>
        <w:pStyle w:val="Heading1"/>
      </w:pPr>
      <w:r>
        <w:t xml:space="preserve">Product Carbon Footprint Analysis for vytozvzvvr</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vytozvzvvr</w:t>
      </w:r>
      <w:r>
        <w:t xml:space="preserve">, manufactured by</w:t>
      </w:r>
      <w:r>
        <w:t xml:space="preserve"> </w:t>
      </w:r>
      <w:r>
        <w:rPr>
          <w:bCs/>
          <w:b/>
        </w:rPr>
        <w:t xml:space="preserve">qdvoyylvmd</w:t>
      </w:r>
      <w:r>
        <w:t xml:space="preserve">. The analysis, conducted by Senior Sustainability Consultant</w:t>
      </w:r>
      <w:r>
        <w:t xml:space="preserve"> </w:t>
      </w:r>
      <w:r>
        <w:rPr>
          <w:bCs/>
          <w:b/>
        </w:rPr>
        <w:t xml:space="preserve">wyiqkooqqu</w:t>
      </w:r>
      <w:r>
        <w:t xml:space="preserve">, adheres strictly to the GHG Protocol and incorporates the latest 2026 Land Sector and Removals (LSR) Standard where applicable. The total estimated cradle-to-gate (and extended downstream) carbon footprint for one functional unit of</w:t>
      </w:r>
      <w:r>
        <w:t xml:space="preserve"> </w:t>
      </w:r>
      <w:r>
        <w:rPr>
          <w:bCs/>
          <w:b/>
        </w:rPr>
        <w:t xml:space="preserve">vytozvzvvr</w:t>
      </w:r>
      <w:r>
        <w:t xml:space="preserve"> </w:t>
      </w:r>
      <w:r>
        <w:t xml:space="preserve">is approximately 28.57 kg CO2e, with significant hotspots identified in the material acquisition and downstream logistics phases. The company\'s commitment to renewable energy in manufacturing and end-of-life circular programs positively impacts the overall footprint.</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foundational parameters for the Product Carbon Footprint (PCF) analysis of</w:t>
      </w:r>
      <w:r>
        <w:t xml:space="preserve"> </w:t>
      </w:r>
      <w:r>
        <w:rPr>
          <w:bCs/>
          <w:b/>
        </w:rPr>
        <w:t xml:space="preserve">vytozvzvvr</w:t>
      </w:r>
      <w:r>
        <w:t xml:space="preserve">.</w:t>
      </w:r>
    </w:p>
    <w:p>
      <w:pPr>
        <w:numPr>
          <w:ilvl w:val="0"/>
          <w:numId w:val="1001"/>
        </w:numPr>
        <w:pStyle w:val="Compact"/>
      </w:pPr>
      <w:r>
        <w:rPr>
          <w:bCs/>
          <w:b/>
        </w:rPr>
        <w:t xml:space="preserve">Functional Unit:</w:t>
      </w:r>
      <w:r>
        <w:t xml:space="preserve"> </w:t>
      </w:r>
      <w:r>
        <w:t xml:space="preserve">1.0 unit of vytozvzvvr.</w:t>
      </w:r>
    </w:p>
    <w:p>
      <w:pPr>
        <w:numPr>
          <w:ilvl w:val="0"/>
          <w:numId w:val="1001"/>
        </w:numPr>
        <w:pStyle w:val="Compact"/>
      </w:pPr>
      <w:r>
        <w:rPr>
          <w:bCs/>
          <w:b/>
        </w:rPr>
        <w:t xml:space="preserve">System Boundary:</w:t>
      </w:r>
      <w:r>
        <w:t xml:space="preserve"> </w:t>
      </w:r>
      <w:r>
        <w:t xml:space="preserve">The primary system boundary for this PCF is \'factory_gate\', encompassing all processes from raw material extraction (cradle) to the point where the finished product leaves the manufacturing facility. Additionally, key downstream elements including transportation to the customer, product use phase, and end-of-life scenarios are included to provide a more comprehensive "cradle-to-grave" perspective.</w:t>
      </w:r>
    </w:p>
    <w:p>
      <w:pPr>
        <w:numPr>
          <w:ilvl w:val="0"/>
          <w:numId w:val="1001"/>
        </w:numPr>
        <w:pStyle w:val="Compact"/>
      </w:pPr>
      <w:r>
        <w:rPr>
          <w:bCs/>
          <w:b/>
        </w:rPr>
        <w:t xml:space="preserve">Geographic Scope:</w:t>
      </w:r>
      <w:r>
        <w:t xml:space="preserve"> </w:t>
      </w:r>
      <w:r>
        <w:t xml:space="preserve">Final production occurs in China, with a supply chain focus on Europe for certain components and downstream distribution.</w:t>
      </w:r>
    </w:p>
    <w:p>
      <w:pPr>
        <w:numPr>
          <w:ilvl w:val="0"/>
          <w:numId w:val="1001"/>
        </w:numPr>
        <w:pStyle w:val="Compact"/>
      </w:pPr>
      <w:r>
        <w:rPr>
          <w:bCs/>
          <w:b/>
        </w:rPr>
        <w:t xml:space="preserve">Allocation:</w:t>
      </w:r>
      <w:r>
        <w:t xml:space="preserve"> </w:t>
      </w:r>
      <w:r>
        <w:t xml:space="preserve">Emissions are directly attributed to the functional unit (1.0 unit of vytozvzvvr). Where shared processes occur (e.g., factory utilities), emissions are allocated based on energy intensity per unit of product.</w:t>
      </w:r>
    </w:p>
    <w:p>
      <w:pPr>
        <w:numPr>
          <w:ilvl w:val="0"/>
          <w:numId w:val="1001"/>
        </w:numPr>
        <w:pStyle w:val="Compact"/>
      </w:pPr>
      <w:r>
        <w:rPr>
          <w:bCs/>
          <w:b/>
        </w:rPr>
        <w:t xml:space="preserve">Accounting Standard:</w:t>
      </w:r>
      <w:r>
        <w:t xml:space="preserve"> </w:t>
      </w:r>
      <w:r>
        <w:t xml:space="preserve">This analysis strictly follows the **GHG Protocol** standards, ensuring comprehensive categorization of emissions into Scope 1 (direct emissions), Scope 2 (indirect emissions from purchased energy), and Scope 3 (all other indirect emissions across the value chain).</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The lifecycle of</w:t>
      </w:r>
      <w:r>
        <w:t xml:space="preserve"> </w:t>
      </w:r>
      <w:r>
        <w:rPr>
          <w:bCs/>
          <w:b/>
        </w:rPr>
        <w:t xml:space="preserve">vytozvzvvr</w:t>
      </w:r>
      <w:r>
        <w:t xml:space="preserve"> </w:t>
      </w:r>
      <w:r>
        <w:t xml:space="preserve">has been mapped into several stages, and relevant data, both primary and secondary, has been collected for each. This detailed breakdown allows for a granular understanding of emission sources.</w:t>
      </w:r>
    </w:p>
    <w:bookmarkStart w:id="23" w:name="Xcee02afbbe6cc3bc7c750f7d3c9ec908ee316a9"/>
    <w:p>
      <w:pPr>
        <w:pStyle w:val="Heading3"/>
      </w:pPr>
      <w:r>
        <w:t xml:space="preserve">2.1. Material Acquisition &amp; Pre-processing (Scope 3 Upstream)</w:t>
      </w:r>
    </w:p>
    <w:p>
      <w:pPr>
        <w:pStyle w:val="FirstParagraph"/>
      </w:pPr>
      <w:r>
        <w:t xml:space="preserve">The Bill of Materials (BOM) for</w:t>
      </w:r>
      <w:r>
        <w:t xml:space="preserve"> </w:t>
      </w:r>
      <w:r>
        <w:rPr>
          <w:bCs/>
          <w:b/>
        </w:rPr>
        <w:t xml:space="preserve">vytozvzvvr</w:t>
      </w:r>
      <w:r>
        <w:t xml:space="preserve">, provided as `mfnygdkn`, forms the basis for calculating the upstream material impacts. The ‘Total Carbon’ values specified in the BOM are directly used for material emission calculations, representing cradle-to-gate impacts of material production. The sum of these values constitutes the total emissions from material acquisition.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Stainless 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4.5</w:t>
            </w:r>
          </w:p>
        </w:tc>
        <w:tc>
          <w:tcPr/>
          <w:p>
            <w:pPr>
              <w:pStyle w:val="Compact"/>
              <w:jc w:val="left"/>
            </w:pPr>
            <w:r>
              <w:t xml:space="preserve">3.6</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2.2</w:t>
            </w:r>
          </w:p>
        </w:tc>
        <w:tc>
          <w:tcPr/>
          <w:p>
            <w:pPr>
              <w:pStyle w:val="Compact"/>
              <w:jc w:val="left"/>
            </w:pPr>
            <w:r>
              <w:t xml:space="preserve">1.1</w:t>
            </w:r>
          </w:p>
        </w:tc>
      </w:tr>
      <w:tr>
        <w:tc>
          <w:tcPr/>
          <w:p>
            <w:pPr>
              <w:pStyle w:val="Compact"/>
              <w:jc w:val="left"/>
            </w:pPr>
            <w:r>
              <w:t xml:space="preserve">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9.0</w:t>
            </w:r>
          </w:p>
        </w:tc>
        <w:tc>
          <w:tcPr/>
          <w:p>
            <w:pPr>
              <w:pStyle w:val="Compact"/>
              <w:jc w:val="left"/>
            </w:pPr>
            <w:r>
              <w:t xml:space="preserve">2.7</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9.10</w:t>
            </w:r>
          </w:p>
        </w:tc>
      </w:tr>
    </w:tbl>
    <w:bookmarkEnd w:id="23"/>
    <w:bookmarkStart w:id="24" w:name="manufacturing-scope-1-scope-2"/>
    <w:p>
      <w:pPr>
        <w:pStyle w:val="Heading3"/>
      </w:pPr>
      <w:r>
        <w:t xml:space="preserve">2.2. Manufacturing (Scope 1 &amp; Scope 2)</w:t>
      </w:r>
    </w:p>
    <w:p>
      <w:pPr>
        <w:pStyle w:val="FirstParagraph"/>
      </w:pPr>
      <w:r>
        <w:t xml:space="preserve">The manufacturing process of</w:t>
      </w:r>
      <w:r>
        <w:t xml:space="preserve"> </w:t>
      </w:r>
      <w:r>
        <w:rPr>
          <w:bCs/>
          <w:b/>
        </w:rPr>
        <w:t xml:space="preserve">vytozvzvvr</w:t>
      </w:r>
      <w:r>
        <w:t xml:space="preserve"> </w:t>
      </w:r>
      <w:r>
        <w:t xml:space="preserve">takes place in China. Energy consumption data is provided to assess the associated emissions.</w:t>
      </w:r>
    </w:p>
    <w:p>
      <w:pPr>
        <w:numPr>
          <w:ilvl w:val="0"/>
          <w:numId w:val="1002"/>
        </w:numPr>
        <w:pStyle w:val="Compact"/>
      </w:pPr>
      <w:r>
        <w:rPr>
          <w:bCs/>
          <w:b/>
        </w:rPr>
        <w:t xml:space="preserve">Energy Intensity (kWh/unit):</w:t>
      </w:r>
      <w:r>
        <w:t xml:space="preserve"> </w:t>
      </w:r>
      <w:r>
        <w:t xml:space="preserve">rorugteejh (10 kWh/unit)</w:t>
      </w:r>
    </w:p>
    <w:p>
      <w:pPr>
        <w:numPr>
          <w:ilvl w:val="0"/>
          <w:numId w:val="1002"/>
        </w:numPr>
        <w:pStyle w:val="Compact"/>
      </w:pPr>
      <w:r>
        <w:rPr>
          <w:bCs/>
          <w:b/>
        </w:rPr>
        <w:t xml:space="preserve">Renewable Energy Usage:</w:t>
      </w:r>
      <w:r>
        <w:t xml:space="preserve"> </w:t>
      </w:r>
      <w:r>
        <w:t xml:space="preserve">whqsqrlisl (40%)</w:t>
      </w:r>
    </w:p>
    <w:p>
      <w:pPr>
        <w:numPr>
          <w:ilvl w:val="0"/>
          <w:numId w:val="1002"/>
        </w:numPr>
        <w:pStyle w:val="Compact"/>
      </w:pPr>
      <w:r>
        <w:rPr>
          <w:bCs/>
          <w:b/>
        </w:rPr>
        <w:t xml:space="preserve">China Electricity Grid Emission Factor:</w:t>
      </w:r>
      <w:r>
        <w:t xml:space="preserve"> </w:t>
      </w:r>
      <w:r>
        <w:t xml:space="preserve">0.5568 kg CO2e/kWh (MEE 2021)</w:t>
      </w:r>
    </w:p>
    <w:p>
      <w:pPr>
        <w:numPr>
          <w:ilvl w:val="0"/>
          <w:numId w:val="1002"/>
        </w:numPr>
        <w:pStyle w:val="Compact"/>
      </w:pPr>
      <w:r>
        <w:rPr>
          <w:bCs/>
          <w:b/>
        </w:rPr>
        <w:t xml:space="preserve">Renewable Electricity Emission Factor:</w:t>
      </w:r>
      <w:r>
        <w:t xml:space="preserve"> </w:t>
      </w:r>
      <w:r>
        <w:t xml:space="preserve">0 kg CO2e/kWh (assuming certified renewable electricity with no upstream emissions)</w:t>
      </w:r>
    </w:p>
    <w:p>
      <w:pPr>
        <w:numPr>
          <w:ilvl w:val="0"/>
          <w:numId w:val="1002"/>
        </w:numPr>
        <w:pStyle w:val="Compact"/>
      </w:pPr>
      <w:r>
        <w:rPr>
          <w:bCs/>
          <w:b/>
        </w:rPr>
        <w:t xml:space="preserve">Scope 1 Emissions:</w:t>
      </w:r>
      <w:r>
        <w:t xml:space="preserve"> </w:t>
      </w:r>
      <w:r>
        <w:t xml:space="preserve">Direct emissions from on-site fuel combustion are considered negligible as no specific direct fuel consumption is reported for the manufacturing process beyond electricity.</w:t>
      </w:r>
    </w:p>
    <w:bookmarkEnd w:id="24"/>
    <w:bookmarkStart w:id="25" w:name="X308c2b3e18c8ba59df4eed5f5a9bf90e12df849"/>
    <w:p>
      <w:pPr>
        <w:pStyle w:val="Heading3"/>
      </w:pPr>
      <w:r>
        <w:t xml:space="preserve">2.3. Transportation &amp; Distribution (Scope 3 Downstream)</w:t>
      </w:r>
    </w:p>
    <w:p>
      <w:pPr>
        <w:pStyle w:val="FirstParagraph"/>
      </w:pPr>
      <w:r>
        <w:t xml:space="preserve">This phase covers the transportation of the finished product from the factory gate to the customer.</w:t>
      </w:r>
    </w:p>
    <w:p>
      <w:pPr>
        <w:numPr>
          <w:ilvl w:val="0"/>
          <w:numId w:val="1003"/>
        </w:numPr>
        <w:pStyle w:val="Compact"/>
      </w:pPr>
      <w:r>
        <w:rPr>
          <w:bCs/>
          <w:b/>
        </w:rPr>
        <w:t xml:space="preserve">Main Transport Mode:</w:t>
      </w:r>
      <w:r>
        <w:t xml:space="preserve"> </w:t>
      </w:r>
      <w:r>
        <w:t xml:space="preserve">Road Freight (Long-haul heavy truck)</w:t>
      </w:r>
    </w:p>
    <w:p>
      <w:pPr>
        <w:numPr>
          <w:ilvl w:val="0"/>
          <w:numId w:val="1003"/>
        </w:numPr>
        <w:pStyle w:val="Compact"/>
      </w:pPr>
      <w:r>
        <w:rPr>
          <w:bCs/>
          <w:b/>
        </w:rPr>
        <w:t xml:space="preserve">Main Transport Distance:</w:t>
      </w:r>
      <w:r>
        <w:t xml:space="preserve"> </w:t>
      </w:r>
      <w:r>
        <w:t xml:space="preserve">nfniflsmqw (1000 km, assumed)</w:t>
      </w:r>
    </w:p>
    <w:p>
      <w:pPr>
        <w:numPr>
          <w:ilvl w:val="0"/>
          <w:numId w:val="1003"/>
        </w:numPr>
        <w:pStyle w:val="Compact"/>
      </w:pPr>
      <w:r>
        <w:rPr>
          <w:bCs/>
          <w:b/>
        </w:rPr>
        <w:t xml:space="preserve">Product Weight for Transport:</w:t>
      </w:r>
      <w:r>
        <w:t xml:space="preserve"> </w:t>
      </w:r>
      <w:r>
        <w:t xml:space="preserve">1 kg (assumed)</w:t>
      </w:r>
    </w:p>
    <w:p>
      <w:pPr>
        <w:numPr>
          <w:ilvl w:val="0"/>
          <w:numId w:val="1003"/>
        </w:numPr>
        <w:pStyle w:val="Compact"/>
      </w:pPr>
      <w:r>
        <w:rPr>
          <w:bCs/>
          <w:b/>
        </w:rPr>
        <w:t xml:space="preserve">Road Freight Emission Factor:</w:t>
      </w:r>
      <w:r>
        <w:t xml:space="preserve"> </w:t>
      </w:r>
      <w:r>
        <w:t xml:space="preserve">0.105 kg CO2e/tonne-km (Long-haul heavy truck)</w:t>
      </w:r>
    </w:p>
    <w:p>
      <w:pPr>
        <w:numPr>
          <w:ilvl w:val="0"/>
          <w:numId w:val="1003"/>
        </w:numPr>
        <w:pStyle w:val="Compact"/>
      </w:pPr>
      <w:r>
        <w:rPr>
          <w:bCs/>
          <w:b/>
        </w:rPr>
        <w:t xml:space="preserve">Last-Mile Delivery Channel:</w:t>
      </w:r>
      <w:r>
        <w:t xml:space="preserve"> </w:t>
      </w:r>
      <w:r>
        <w:t xml:space="preserve">Diesel Van</w:t>
      </w:r>
    </w:p>
    <w:p>
      <w:pPr>
        <w:numPr>
          <w:ilvl w:val="0"/>
          <w:numId w:val="1003"/>
        </w:numPr>
        <w:pStyle w:val="Compact"/>
      </w:pPr>
      <w:r>
        <w:rPr>
          <w:bCs/>
          <w:b/>
        </w:rPr>
        <w:t xml:space="preserve">Last-Mile Delivery Distance:</w:t>
      </w:r>
      <w:r>
        <w:t xml:space="preserve"> </w:t>
      </w:r>
      <w:r>
        <w:t xml:space="preserve">50 km (assumed typical urban delivery)</w:t>
      </w:r>
    </w:p>
    <w:p>
      <w:pPr>
        <w:numPr>
          <w:ilvl w:val="0"/>
          <w:numId w:val="1003"/>
        </w:numPr>
        <w:pStyle w:val="Compact"/>
      </w:pPr>
      <w:r>
        <w:rPr>
          <w:bCs/>
          <w:b/>
        </w:rPr>
        <w:t xml:space="preserve">Diesel Van Emission Factor:</w:t>
      </w:r>
      <w:r>
        <w:t xml:space="preserve"> </w:t>
      </w:r>
      <w:r>
        <w:t xml:space="preserve">0.25346 kg CO2e/km (Class III, 1.74 to 3.5 tonnes)</w:t>
      </w:r>
    </w:p>
    <w:bookmarkEnd w:id="25"/>
    <w:bookmarkStart w:id="26" w:name="use-phase-scope-3-downstream"/>
    <w:p>
      <w:pPr>
        <w:pStyle w:val="Heading3"/>
      </w:pPr>
      <w:r>
        <w:t xml:space="preserve">2.4. Use Phase (Scope 3 Downstream)</w:t>
      </w:r>
    </w:p>
    <w:p>
      <w:pPr>
        <w:pStyle w:val="FirstParagraph"/>
      </w:pPr>
      <w:r>
        <w:t xml:space="preserve">The energy consumed during the product\'s lifespan contributes to its overall footprint.</w:t>
      </w:r>
    </w:p>
    <w:p>
      <w:pPr>
        <w:numPr>
          <w:ilvl w:val="0"/>
          <w:numId w:val="1004"/>
        </w:numPr>
        <w:pStyle w:val="Compact"/>
      </w:pPr>
      <w:r>
        <w:rPr>
          <w:bCs/>
          <w:b/>
        </w:rPr>
        <w:t xml:space="preserve">Product Lifespan:</w:t>
      </w:r>
      <w:r>
        <w:t xml:space="preserve"> </w:t>
      </w:r>
      <w:r>
        <w:t xml:space="preserve">jmixofigyj (5 years, assumed)</w:t>
      </w:r>
    </w:p>
    <w:p>
      <w:pPr>
        <w:numPr>
          <w:ilvl w:val="0"/>
          <w:numId w:val="1004"/>
        </w:numPr>
        <w:pStyle w:val="Compact"/>
      </w:pPr>
      <w:r>
        <w:rPr>
          <w:bCs/>
          <w:b/>
        </w:rPr>
        <w:t xml:space="preserve">Energy Consumption in Use:</w:t>
      </w:r>
      <w:r>
        <w:t xml:space="preserve"> </w:t>
      </w:r>
      <w:r>
        <w:t xml:space="preserve">orsmszwskp (20 kWh total over lifespan, assumed)</w:t>
      </w:r>
    </w:p>
    <w:p>
      <w:pPr>
        <w:numPr>
          <w:ilvl w:val="0"/>
          <w:numId w:val="1004"/>
        </w:numPr>
        <w:pStyle w:val="Compact"/>
      </w:pPr>
      <w:r>
        <w:rPr>
          <w:bCs/>
          <w:b/>
        </w:rPr>
        <w:t xml:space="preserve">European Electricity Grid Emission Factor:</w:t>
      </w:r>
      <w:r>
        <w:t xml:space="preserve"> </w:t>
      </w:r>
      <w:r>
        <w:t xml:space="preserve">0.254 kg CO2e/kWh (EU-27 2020)</w:t>
      </w:r>
    </w:p>
    <w:bookmarkEnd w:id="26"/>
    <w:bookmarkStart w:id="27" w:name="end-of-life-eol-scope-3-downstream"/>
    <w:p>
      <w:pPr>
        <w:pStyle w:val="Heading3"/>
      </w:pPr>
      <w:r>
        <w:t xml:space="preserve">2.5. End-of-Life (EoL) (Scope 3 Downstream)</w:t>
      </w:r>
    </w:p>
    <w:p>
      <w:pPr>
        <w:pStyle w:val="FirstParagraph"/>
      </w:pPr>
      <w:r>
        <w:t xml:space="preserve">End-of-life scenarios, including recyclability and circular economy initiatives, are considered.</w:t>
      </w:r>
    </w:p>
    <w:p>
      <w:pPr>
        <w:numPr>
          <w:ilvl w:val="0"/>
          <w:numId w:val="1005"/>
        </w:numPr>
        <w:pStyle w:val="Compact"/>
      </w:pPr>
      <w:r>
        <w:rPr>
          <w:bCs/>
          <w:b/>
        </w:rPr>
        <w:t xml:space="preserve">Recyclability Percentage:</w:t>
      </w:r>
      <w:r>
        <w:t xml:space="preserve"> </w:t>
      </w:r>
      <w:r>
        <w:t xml:space="preserve">ihumsgguwi (70%)</w:t>
      </w:r>
    </w:p>
    <w:p>
      <w:pPr>
        <w:numPr>
          <w:ilvl w:val="0"/>
          <w:numId w:val="1005"/>
        </w:numPr>
        <w:pStyle w:val="Compact"/>
      </w:pPr>
      <w:r>
        <w:rPr>
          <w:bCs/>
          <w:b/>
        </w:rPr>
        <w:t xml:space="preserve">Circular/Take-back Programs:</w:t>
      </w:r>
      <w:r>
        <w:t xml:space="preserve"> </w:t>
      </w:r>
      <w:r>
        <w:t xml:space="preserve">pzlwmsixwv (Company-run recycling and refurbishment program)</w:t>
      </w:r>
    </w:p>
    <w:p>
      <w:pPr>
        <w:numPr>
          <w:ilvl w:val="0"/>
          <w:numId w:val="1005"/>
        </w:numPr>
        <w:pStyle w:val="Compact"/>
      </w:pPr>
      <w:r>
        <w:rPr>
          <w:bCs/>
          <w:b/>
        </w:rPr>
        <w:t xml:space="preserve">Avoided Emissions from Recycling:</w:t>
      </w:r>
      <w:r>
        <w:t xml:space="preserve"> </w:t>
      </w:r>
      <w:r>
        <w:t xml:space="preserve">Calculated based on the recyclable material content and a representative avoidance factor.</w:t>
      </w:r>
    </w:p>
    <w:p>
      <w:r>
        <w:pict>
          <v:rect style="width:0;height:1.5pt" o:hralign="center" o:hrstd="t" o:hr="t"/>
        </w:pict>
      </w:r>
    </w:p>
    <w:bookmarkEnd w:id="27"/>
    <w:bookmarkEnd w:id="28"/>
    <w:bookmarkStart w:id="35" w:name="emission-calculations"/>
    <w:p>
      <w:pPr>
        <w:pStyle w:val="Heading2"/>
      </w:pPr>
      <w:r>
        <w:t xml:space="preserve">4. Emission Calculations</w:t>
      </w:r>
    </w:p>
    <w:p>
      <w:pPr>
        <w:pStyle w:val="FirstParagraph"/>
      </w:pPr>
      <w:r>
        <w:t xml:space="preserve">Emissions are calculated for each stage of the product\'s lifecycle, adhering to the GHG Protocol\'s categorization.</w:t>
      </w:r>
    </w:p>
    <w:bookmarkStart w:id="29" w:name="X926c34e265f7cbe41e262dfe60c5fd80d04444c"/>
    <w:p>
      <w:pPr>
        <w:pStyle w:val="Heading3"/>
      </w:pPr>
      <w:r>
        <w:t xml:space="preserve">4.1. Material Acquisition &amp; Pre-processing (Scope 3 Upstream)</w:t>
      </w:r>
    </w:p>
    <w:p>
      <w:pPr>
        <w:pStyle w:val="FirstParagraph"/>
      </w:pPr>
      <w:r>
        <w:t xml:space="preserve">As per the detailed BOM, the sum of "Total Carbon" for each material directly gives the emissions for this stage.</w:t>
      </w:r>
    </w:p>
    <w:p>
      <w:pPr>
        <w:pStyle w:val="BodyText"/>
      </w:pPr>
      <w:r>
        <w:rPr>
          <w:bCs/>
          <w:b/>
        </w:rPr>
        <w:t xml:space="preserve">Total Material Emissions = 9.10 kg CO2e</w:t>
      </w:r>
    </w:p>
    <w:bookmarkEnd w:id="29"/>
    <w:bookmarkStart w:id="30" w:name="manufacturing-phase"/>
    <w:p>
      <w:pPr>
        <w:pStyle w:val="Heading3"/>
      </w:pPr>
      <w:r>
        <w:t xml:space="preserve">4.2. Manufacturing Phase</w:t>
      </w:r>
    </w:p>
    <w:p>
      <w:pPr>
        <w:pStyle w:val="FirstParagraph"/>
      </w:pPr>
      <w:r>
        <w:t xml:space="preserve">This includes direct emissions from the factory (Scope 1) and indirect emissions from purchased electricity (Scope 2).</w:t>
      </w:r>
    </w:p>
    <w:p>
      <w:pPr>
        <w:numPr>
          <w:ilvl w:val="0"/>
          <w:numId w:val="1006"/>
        </w:numPr>
        <w:pStyle w:val="Compact"/>
      </w:pPr>
      <w:r>
        <w:rPr>
          <w:bCs/>
          <w:b/>
        </w:rPr>
        <w:t xml:space="preserve">Scope 1 (Direct Emissions):</w:t>
      </w:r>
      <w:r>
        <w:t xml:space="preserve"> </w:t>
      </w:r>
      <w:r>
        <w:t xml:space="preserve">0.00 kg CO2e (assumed negligible)</w:t>
      </w:r>
    </w:p>
    <w:p>
      <w:pPr>
        <w:numPr>
          <w:ilvl w:val="0"/>
          <w:numId w:val="1006"/>
        </w:numPr>
        <w:pStyle w:val="Compact"/>
      </w:pPr>
      <w:r>
        <w:rPr>
          <w:bCs/>
          <w:b/>
        </w:rPr>
        <w:t xml:space="preserve">Scope 2 (Purchased Electricity):</w:t>
      </w:r>
    </w:p>
    <w:p>
      <w:pPr>
        <w:numPr>
          <w:ilvl w:val="1"/>
          <w:numId w:val="1007"/>
        </w:numPr>
        <w:pStyle w:val="Compact"/>
      </w:pPr>
      <w:r>
        <w:t xml:space="preserve">Non-renewable electricity consumption: 10 kWh/unit * (1 - 40/100) = 6 kWh/unit</w:t>
      </w:r>
    </w:p>
    <w:p>
      <w:pPr>
        <w:numPr>
          <w:ilvl w:val="1"/>
          <w:numId w:val="1007"/>
        </w:numPr>
        <w:pStyle w:val="Compact"/>
      </w:pPr>
      <w:r>
        <w:t xml:space="preserve">Emissions from non-renewable electricity: 6 kWh/unit * 0.5568 kg CO2e/kWh = 3.3408 kg CO2e/unit</w:t>
      </w:r>
    </w:p>
    <w:p>
      <w:pPr>
        <w:numPr>
          <w:ilvl w:val="1"/>
          <w:numId w:val="1007"/>
        </w:numPr>
        <w:pStyle w:val="Compact"/>
      </w:pPr>
      <w:r>
        <w:t xml:space="preserve">Renewable electricity consumption: 10 kWh/unit * (40/100) = 4 kWh/unit</w:t>
      </w:r>
    </w:p>
    <w:p>
      <w:pPr>
        <w:numPr>
          <w:ilvl w:val="1"/>
          <w:numId w:val="1007"/>
        </w:numPr>
        <w:pStyle w:val="Compact"/>
      </w:pPr>
      <w:r>
        <w:t xml:space="preserve">Emissions from renewable electricity: 4 kWh/unit * 0 kg CO2e/kWh = 0.00 kg CO2e/unit</w:t>
      </w:r>
    </w:p>
    <w:p>
      <w:pPr>
        <w:numPr>
          <w:ilvl w:val="0"/>
          <w:numId w:val="1006"/>
        </w:numPr>
        <w:pStyle w:val="Compact"/>
      </w:pPr>
      <w:r>
        <w:rPr>
          <w:bCs/>
          <w:b/>
        </w:rPr>
        <w:t xml:space="preserve">Total Manufacturing Emissions = 3.3408 kg CO2e</w:t>
      </w:r>
    </w:p>
    <w:bookmarkEnd w:id="30"/>
    <w:bookmarkStart w:id="31" w:name="X45b27f96fd34d63a84a0d805dd3563bc0d1a886"/>
    <w:p>
      <w:pPr>
        <w:pStyle w:val="Heading3"/>
      </w:pPr>
      <w:r>
        <w:t xml:space="preserve">4.3. Transportation &amp; Distribution (Scope 3 Downstream)</w:t>
      </w:r>
    </w:p>
    <w:p>
      <w:pPr>
        <w:numPr>
          <w:ilvl w:val="0"/>
          <w:numId w:val="1008"/>
        </w:numPr>
        <w:pStyle w:val="Compact"/>
      </w:pPr>
      <w:r>
        <w:rPr>
          <w:bCs/>
          <w:b/>
        </w:rPr>
        <w:t xml:space="preserve">Main Transport Emissions (Road Freight):</w:t>
      </w:r>
    </w:p>
    <w:p>
      <w:pPr>
        <w:numPr>
          <w:ilvl w:val="1"/>
          <w:numId w:val="1009"/>
        </w:numPr>
        <w:pStyle w:val="Compact"/>
      </w:pPr>
      <w:r>
        <w:t xml:space="preserve">Activity: 1 kg (product weight) * 1000 km (distance) = 1 tonne-km (since 1 kg = 0.001 tonne)</w:t>
      </w:r>
    </w:p>
    <w:p>
      <w:pPr>
        <w:numPr>
          <w:ilvl w:val="1"/>
          <w:numId w:val="1009"/>
        </w:numPr>
        <w:pStyle w:val="Compact"/>
      </w:pPr>
      <w:r>
        <w:t xml:space="preserve">Emissions: 1 tonne-km * 0.105 kg CO2e/tonne-km = 0.105 kg CO2e</w:t>
      </w:r>
    </w:p>
    <w:p>
      <w:pPr>
        <w:numPr>
          <w:ilvl w:val="0"/>
          <w:numId w:val="1008"/>
        </w:numPr>
        <w:pStyle w:val="Compact"/>
      </w:pPr>
      <w:r>
        <w:rPr>
          <w:bCs/>
          <w:b/>
        </w:rPr>
        <w:t xml:space="preserve">Last-Mile Delivery Emissions (Diesel Van):</w:t>
      </w:r>
    </w:p>
    <w:p>
      <w:pPr>
        <w:numPr>
          <w:ilvl w:val="1"/>
          <w:numId w:val="1010"/>
        </w:numPr>
        <w:pStyle w:val="Compact"/>
      </w:pPr>
      <w:r>
        <w:t xml:space="preserve">Activity: 50 km (distance)</w:t>
      </w:r>
    </w:p>
    <w:p>
      <w:pPr>
        <w:numPr>
          <w:ilvl w:val="1"/>
          <w:numId w:val="1010"/>
        </w:numPr>
        <w:pStyle w:val="Compact"/>
      </w:pPr>
      <w:r>
        <w:t xml:space="preserve">Emissions: 50 km * 0.25346 kg CO2e/km = 12.673 kg CO2e</w:t>
      </w:r>
    </w:p>
    <w:p>
      <w:pPr>
        <w:numPr>
          <w:ilvl w:val="0"/>
          <w:numId w:val="1008"/>
        </w:numPr>
        <w:pStyle w:val="Compact"/>
      </w:pPr>
      <w:r>
        <w:rPr>
          <w:bCs/>
          <w:b/>
        </w:rPr>
        <w:t xml:space="preserve">Total Transport Emissions = 0.105 kg CO2e + 12.673 kg CO2e = 12.778 kg CO2e</w:t>
      </w:r>
    </w:p>
    <w:bookmarkEnd w:id="31"/>
    <w:bookmarkStart w:id="32" w:name="use-phase-scope-3-downstream-1"/>
    <w:p>
      <w:pPr>
        <w:pStyle w:val="Heading3"/>
      </w:pPr>
      <w:r>
        <w:t xml:space="preserve">4.4. Use Phase (Scope 3 Downstream)</w:t>
      </w:r>
    </w:p>
    <w:p>
      <w:pPr>
        <w:numPr>
          <w:ilvl w:val="0"/>
          <w:numId w:val="1011"/>
        </w:numPr>
        <w:pStyle w:val="Compact"/>
      </w:pPr>
      <w:r>
        <w:rPr>
          <w:bCs/>
          <w:b/>
        </w:rPr>
        <w:t xml:space="preserve">Energy Consumption during Use:</w:t>
      </w:r>
      <w:r>
        <w:t xml:space="preserve"> </w:t>
      </w:r>
      <w:r>
        <w:t xml:space="preserve">20 kWh/unit (over lifespan)</w:t>
      </w:r>
    </w:p>
    <w:p>
      <w:pPr>
        <w:numPr>
          <w:ilvl w:val="0"/>
          <w:numId w:val="1011"/>
        </w:numPr>
        <w:pStyle w:val="Compact"/>
      </w:pPr>
      <w:r>
        <w:rPr>
          <w:bCs/>
          <w:b/>
        </w:rPr>
        <w:t xml:space="preserve">Emissions:</w:t>
      </w:r>
      <w:r>
        <w:t xml:space="preserve"> </w:t>
      </w:r>
      <w:r>
        <w:t xml:space="preserve">20 kWh/unit * 0.254 kg CO2e/kWh = 5.08 kg CO2e</w:t>
      </w:r>
    </w:p>
    <w:bookmarkEnd w:id="32"/>
    <w:bookmarkStart w:id="33" w:name="end-of-life-eol-scope-3-downstream-1"/>
    <w:p>
      <w:pPr>
        <w:pStyle w:val="Heading3"/>
      </w:pPr>
      <w:r>
        <w:t xml:space="preserve">4.5. End-of-Life (EoL) (Scope 3 Downstream)</w:t>
      </w:r>
    </w:p>
    <w:p>
      <w:pPr>
        <w:pStyle w:val="FirstParagraph"/>
      </w:pPr>
      <w:r>
        <w:t xml:space="preserve">The EoL scenario accounts for both disposal and potential avoided emissions from recycling.</w:t>
      </w:r>
    </w:p>
    <w:p>
      <w:pPr>
        <w:numPr>
          <w:ilvl w:val="0"/>
          <w:numId w:val="1012"/>
        </w:numPr>
        <w:pStyle w:val="Compact"/>
      </w:pPr>
      <w:r>
        <w:t xml:space="preserve">Assuming 70% of the product\'s material mass is effectively recycled, leading to avoided emissions.</w:t>
      </w:r>
    </w:p>
    <w:p>
      <w:pPr>
        <w:numPr>
          <w:ilvl w:val="1"/>
          <w:numId w:val="1013"/>
        </w:numPr>
        <w:pStyle w:val="Compact"/>
      </w:pPr>
      <w:r>
        <w:t xml:space="preserve">Total material footprint (for calculation of avoided emissions baseline) = 9.10 kg CO2e</w:t>
      </w:r>
    </w:p>
    <w:p>
      <w:pPr>
        <w:numPr>
          <w:ilvl w:val="1"/>
          <w:numId w:val="1013"/>
        </w:numPr>
        <w:pStyle w:val="Compact"/>
      </w:pPr>
      <w:r>
        <w:t xml:space="preserve">Avoided Emissions: 70% recycling * 9.10 kg CO2e (material footprint) * 0.7 (avoidance factor) = 4.459 kg CO2e avoided.</w:t>
      </w:r>
    </w:p>
    <w:p>
      <w:pPr>
        <w:numPr>
          <w:ilvl w:val="1"/>
          <w:numId w:val="1013"/>
        </w:numPr>
        <w:pStyle w:val="Compact"/>
      </w:pPr>
      <w:r>
        <w:t xml:space="preserve">Emissions from remaining 30% disposal: 30% * 9.10 kg CO2e (material footprint, theoretical max if all disposed) = 2.73 kg CO2e. (This represents the impact of disposing the non-recycled portion, often with a different EF, but here using the material baseline for simplicity of demonstrating net impact).</w:t>
      </w:r>
    </w:p>
    <w:p>
      <w:pPr>
        <w:numPr>
          <w:ilvl w:val="0"/>
          <w:numId w:val="1012"/>
        </w:numPr>
        <w:pStyle w:val="Compact"/>
      </w:pPr>
      <w:r>
        <w:rPr>
          <w:bCs/>
          <w:b/>
        </w:rPr>
        <w:t xml:space="preserve">Net End-of-Life Emissions = 2.73 kg CO2e (disposal) - 4.459 kg CO2e (avoided) = -1.729 kg CO2e</w:t>
      </w:r>
      <w:r>
        <w:t xml:space="preserve"> </w:t>
      </w:r>
      <w:r>
        <w:t xml:space="preserve">(indicating a net carbon removal/avoidance effect due to recycling).</w:t>
      </w:r>
    </w:p>
    <w:bookmarkEnd w:id="33"/>
    <w:bookmarkStart w:id="34" w:name="total-product-carbon-footprint-pcf"/>
    <w:p>
      <w:pPr>
        <w:pStyle w:val="Heading3"/>
      </w:pPr>
      <w:r>
        <w:t xml:space="preserve">4.6. Total Product Carbon Footprint (PCF)</w:t>
      </w:r>
    </w:p>
    <w:p>
      <w:pPr>
        <w:pStyle w:val="FirstParagraph"/>
      </w:pPr>
      <w:r>
        <w:t xml:space="preserve">The sum of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9.10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3.34</w:t>
            </w:r>
          </w:p>
        </w:tc>
      </w:tr>
      <w:tr>
        <w:tc>
          <w:tcPr/>
          <w:p>
            <w:pPr>
              <w:pStyle w:val="Compact"/>
              <w:jc w:val="left"/>
            </w:pPr>
            <w:r>
              <w:t xml:space="preserve">Transportation &amp; Distribution</w:t>
            </w:r>
          </w:p>
        </w:tc>
        <w:tc>
          <w:tcPr/>
          <w:p>
            <w:pPr>
              <w:pStyle w:val="Compact"/>
              <w:jc w:val="left"/>
            </w:pPr>
            <w:r>
              <w:t xml:space="preserve">Scope 3 (Downstream)</w:t>
            </w:r>
          </w:p>
        </w:tc>
        <w:tc>
          <w:tcPr/>
          <w:p>
            <w:pPr>
              <w:pStyle w:val="Compact"/>
              <w:jc w:val="left"/>
            </w:pPr>
            <w:r>
              <w:t xml:space="preserve">12.78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5.08</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-1.73</w:t>
            </w:r>
          </w:p>
        </w:tc>
      </w:tr>
      <w:tr>
        <w:tc>
          <w:tcPr>
            <w:gridSpan w:val="2"/>
          </w:tcPr>
          <w:p>
            <w:pPr>
              <w:pStyle w:val="Compact"/>
              <w:jc w:val="right"/>
            </w:pPr>
            <w:r>
              <w:rPr>
                <w:bCs/>
                <w:b/>
              </w:rPr>
              <w:t xml:space="preserve">Total PCF for 1.0 unit of vytozvzvvr (kg CO2e):</w:t>
            </w:r>
          </w:p>
        </w:tc>
        <w:tc>
          <w:tcPr/>
          <w:p>
            <w:pPr>
              <w:pStyle w:val="Compact"/>
              <w:jc w:val="left"/>
            </w:pPr>
            <w:r>
              <w:rPr>
                <w:bCs/>
                <w:b/>
              </w:rPr>
              <w:t xml:space="preserve">28.57</w:t>
            </w:r>
          </w:p>
        </w:tc>
      </w:tr>
    </w:tbl>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The primary carbon hotspots for</w:t>
      </w:r>
      <w:r>
        <w:t xml:space="preserve"> </w:t>
      </w:r>
      <w:r>
        <w:rPr>
          <w:bCs/>
          <w:b/>
        </w:rPr>
        <w:t xml:space="preserve">vytozvzvvr</w:t>
      </w:r>
      <w:r>
        <w:t xml:space="preserve"> </w:t>
      </w:r>
      <w:r>
        <w:t xml:space="preserve">are:</w:t>
      </w:r>
    </w:p>
    <w:p>
      <w:pPr>
        <w:numPr>
          <w:ilvl w:val="0"/>
          <w:numId w:val="1014"/>
        </w:numPr>
        <w:pStyle w:val="Compact"/>
      </w:pPr>
      <w:r>
        <w:rPr>
          <w:bCs/>
          <w:b/>
        </w:rPr>
        <w:t xml:space="preserve">Transportation &amp; Distribution (44.7%):</w:t>
      </w:r>
      <w:r>
        <w:t xml:space="preserve"> </w:t>
      </w:r>
      <w:r>
        <w:t xml:space="preserve">Downstream logistics, particularly the last-mile delivery, constitutes the largest portion of the footprint. This suggests that optimizing delivery channels, using lower-emission vehicles, or more efficient route planning could yield significant reductions.</w:t>
      </w:r>
    </w:p>
    <w:p>
      <w:pPr>
        <w:numPr>
          <w:ilvl w:val="0"/>
          <w:numId w:val="1014"/>
        </w:numPr>
        <w:pStyle w:val="Compact"/>
      </w:pPr>
      <w:r>
        <w:rPr>
          <w:bCs/>
          <w:b/>
        </w:rPr>
        <w:t xml:space="preserve">Material Acquisition (31.8%):</w:t>
      </w:r>
      <w:r>
        <w:t xml:space="preserve"> </w:t>
      </w:r>
      <w:r>
        <w:t xml:space="preserve">The raw materials, particularly components like the Lithium-ion Battery Pack and Stainless Steel Casing, contribute substantially. Sourcing materials with lower embedded carbon or exploring alternative, lighter, or recycled content materials could be impactful.</w:t>
      </w:r>
    </w:p>
    <w:p>
      <w:pPr>
        <w:numPr>
          <w:ilvl w:val="0"/>
          <w:numId w:val="1014"/>
        </w:numPr>
        <w:pStyle w:val="Compact"/>
      </w:pPr>
      <w:r>
        <w:rPr>
          <w:bCs/>
          <w:b/>
        </w:rPr>
        <w:t xml:space="preserve">Use Phase (17.8%):</w:t>
      </w:r>
      <w:r>
        <w:t xml:space="preserve"> </w:t>
      </w:r>
      <w:r>
        <w:t xml:space="preserve">Energy consumption during the product\'s operational lifespan is another significant contributor. Improving energy efficiency of the product or encouraging the use of renewable energy sources by end-users would be beneficial.</w:t>
      </w:r>
    </w:p>
    <w:bookmarkEnd w:id="36"/>
    <w:bookmarkStart w:id="37" w:name="reliability-and-limitations"/>
    <w:p>
      <w:pPr>
        <w:pStyle w:val="Heading3"/>
      </w:pPr>
      <w:r>
        <w:t xml:space="preserve">5.2. Reliability and Limitations</w:t>
      </w:r>
    </w:p>
    <w:p>
      <w:pPr>
        <w:pStyle w:val="FirstParagraph"/>
      </w:pPr>
      <w:r>
        <w:t xml:space="preserve">The calculations are based on the provided parameters and a combination of specific and industry-average emission factors (e.g., from MEE, Climatiq, McKinnon, IEA). While efforts have been made to ensure accuracy and consistency with the GHG Protocol, some limitations exist:</w:t>
      </w:r>
    </w:p>
    <w:p>
      <w:pPr>
        <w:numPr>
          <w:ilvl w:val="0"/>
          <w:numId w:val="1015"/>
        </w:numPr>
        <w:pStyle w:val="Compact"/>
      </w:pPr>
      <w:r>
        <w:rPr>
          <w:bCs/>
          <w:b/>
        </w:rPr>
        <w:t xml:space="preserve">Assumed Data:</w:t>
      </w:r>
      <w:r>
        <w:t xml:space="preserve"> </w:t>
      </w:r>
      <w:r>
        <w:t xml:space="preserve">Specific product weight, last-mile delivery distance, and the total energy consumption in use were assumed based on typical industry scenarios for generic products of this nature.</w:t>
      </w:r>
    </w:p>
    <w:p>
      <w:pPr>
        <w:numPr>
          <w:ilvl w:val="0"/>
          <w:numId w:val="1015"/>
        </w:numPr>
        <w:pStyle w:val="Compact"/>
      </w:pPr>
      <w:r>
        <w:rPr>
          <w:bCs/>
          <w:b/>
        </w:rPr>
        <w:t xml:space="preserve">Emission Factor Specificity:</w:t>
      </w:r>
      <w:r>
        <w:t xml:space="preserve"> </w:t>
      </w:r>
      <w:r>
        <w:t xml:space="preserve">Generic emission factors for transport modes and electricity grids were used where specific regional or supplier data was not available.</w:t>
      </w:r>
    </w:p>
    <w:p>
      <w:pPr>
        <w:numPr>
          <w:ilvl w:val="0"/>
          <w:numId w:val="1015"/>
        </w:numPr>
        <w:pStyle w:val="Compact"/>
      </w:pPr>
      <w:r>
        <w:rPr>
          <w:bCs/>
          <w:b/>
        </w:rPr>
        <w:t xml:space="preserve">LSR Standard Application:</w:t>
      </w:r>
      <w:r>
        <w:t xml:space="preserve"> </w:t>
      </w:r>
      <w:r>
        <w:t xml:space="preserve">The 2026 Land Sector and Removals (LSR) Standard is acknowledged, but its quantitative application requires specific data on land-use change, biomass carbon stock changes, and other removals directly attributable to the product\'s supply chain, which were not provided in detail. This report qualitatively acknowledges its importance for future, more granular analyses.</w:t>
      </w:r>
    </w:p>
    <w:p>
      <w:pPr>
        <w:numPr>
          <w:ilvl w:val="0"/>
          <w:numId w:val="1015"/>
        </w:numPr>
        <w:pStyle w:val="Compact"/>
      </w:pPr>
      <w:r>
        <w:rPr>
          <w:bCs/>
          <w:b/>
        </w:rPr>
        <w:t xml:space="preserve">Scope 3 Coverage:</w:t>
      </w:r>
      <w:r>
        <w:t xml:space="preserve"> </w:t>
      </w:r>
      <w:r>
        <w:t xml:space="preserve">While key Scope 3 categories are covered (material acquisition, transportation, use phase, end-of-life), achieving 95% coverage as per 2026 requirements is an ongoing effort that would benefit from more granular data across all value chain activities.</w:t>
      </w:r>
    </w:p>
    <w:bookmarkEnd w:id="37"/>
    <w:bookmarkStart w:id="38" w:name="key-insights-and-recommendations"/>
    <w:p>
      <w:pPr>
        <w:pStyle w:val="Heading3"/>
      </w:pPr>
      <w:r>
        <w:t xml:space="preserve">5.3. Key Insights and Recommendations</w:t>
      </w:r>
    </w:p>
    <w:p>
      <w:pPr>
        <w:numPr>
          <w:ilvl w:val="0"/>
          <w:numId w:val="1016"/>
        </w:numPr>
        <w:pStyle w:val="Compact"/>
      </w:pPr>
      <w:r>
        <w:rPr>
          <w:bCs/>
          <w:b/>
        </w:rPr>
        <w:t xml:space="preserve">Logistics Optimization:</w:t>
      </w:r>
      <w:r>
        <w:t xml:space="preserve"> </w:t>
      </w:r>
      <w:r>
        <w:t xml:space="preserve">Investigate options for greener last-mile delivery, such as electric vehicles, cargo bikes, or optimized route planning, given its significant impact. Explore consolidated shipping for both upstream and downstream logistics.</w:t>
      </w:r>
    </w:p>
    <w:p>
      <w:pPr>
        <w:numPr>
          <w:ilvl w:val="0"/>
          <w:numId w:val="1016"/>
        </w:numPr>
        <w:pStyle w:val="Compact"/>
      </w:pPr>
      <w:r>
        <w:rPr>
          <w:bCs/>
          <w:b/>
        </w:rPr>
        <w:t xml:space="preserve">Sustainable Sourcing:</w:t>
      </w:r>
      <w:r>
        <w:t xml:space="preserve"> </w:t>
      </w:r>
      <w:r>
        <w:t xml:space="preserve">Collaborate with suppliers to identify and procure lower-carbon materials, increase recycled content, and explore design changes that minimize material usage.</w:t>
      </w:r>
    </w:p>
    <w:p>
      <w:pPr>
        <w:numPr>
          <w:ilvl w:val="0"/>
          <w:numId w:val="1016"/>
        </w:numPr>
        <w:pStyle w:val="Compact"/>
      </w:pPr>
      <w:r>
        <w:rPr>
          <w:bCs/>
          <w:b/>
        </w:rPr>
        <w:t xml:space="preserve">Energy Efficiency:</w:t>
      </w:r>
      <w:r>
        <w:t xml:space="preserve"> </w:t>
      </w:r>
      <w:r>
        <w:t xml:space="preserve">Focus on improving the energy efficiency of</w:t>
      </w:r>
      <w:r>
        <w:t xml:space="preserve"> </w:t>
      </w:r>
      <w:r>
        <w:rPr>
          <w:bCs/>
          <w:b/>
        </w:rPr>
        <w:t xml:space="preserve">vytozvzvvr</w:t>
      </w:r>
      <w:r>
        <w:t xml:space="preserve"> </w:t>
      </w:r>
      <w:r>
        <w:t xml:space="preserve">during its use phase. Provide users with guidance on sustainable product usage.</w:t>
      </w:r>
    </w:p>
    <w:p>
      <w:pPr>
        <w:numPr>
          <w:ilvl w:val="0"/>
          <w:numId w:val="1016"/>
        </w:numPr>
        <w:pStyle w:val="Compact"/>
      </w:pPr>
      <w:r>
        <w:rPr>
          <w:bCs/>
          <w:b/>
        </w:rPr>
        <w:t xml:space="preserve">Circular Economy Programs:</w:t>
      </w:r>
      <w:r>
        <w:t xml:space="preserve"> </w:t>
      </w:r>
      <w:r>
        <w:t xml:space="preserve">The existing "Company-run recycling and refurbishment program" (`pzlwmsixwv`) is a strong positive. Expand and promote these programs to maximize material recovery and reuse, further enhancing the negative EoL impact and potentially reducing the reliance on virgin materials.</w:t>
      </w:r>
    </w:p>
    <w:p>
      <w:pPr>
        <w:numPr>
          <w:ilvl w:val="0"/>
          <w:numId w:val="1016"/>
        </w:numPr>
        <w:pStyle w:val="Compact"/>
      </w:pPr>
      <w:r>
        <w:rPr>
          <w:bCs/>
          <w:b/>
        </w:rPr>
        <w:t xml:space="preserve">Data Granularity:</w:t>
      </w:r>
      <w:r>
        <w:t xml:space="preserve"> </w:t>
      </w:r>
      <w:r>
        <w:t xml:space="preserve">For future iterations, collect more specific primary data on supply chain emissions, particularly for transportation routes, supplier-specific manufacturing energy, and end-of-life processing.</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vytozvzvvr</dc:title>
  <dc:creator/>
  <dc:description>High-detail Product Carbon Footprint (PCF) analysis for product vytozvzvvr by qdvoyylvmd, adhering to GHG Protocol and 2026 LSR update, performed by Senior Sustainability Consultant wyiqkooqqu.</dc:description>
  <dc:language>en</dc:language>
  <cp:keywords/>
  <dcterms:created xsi:type="dcterms:W3CDTF">2026-07-15T03:06:52Z</dcterms:created>
  <dcterms:modified xsi:type="dcterms:W3CDTF">2026-07-15T03:06:52Z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