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vvorfzpwtz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vvorfzpwtz</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djiqiyrljx</w:t>
      </w:r>
    </w:p>
    <w:p>
      <w:pPr>
        <w:pStyle w:val="BodyText"/>
      </w:pPr>
      <w:r>
        <w:t xml:space="preserve">Senior Sustainability Consultant:</w:t>
      </w:r>
      <w:r>
        <w:t xml:space="preserve"> </w:t>
      </w:r>
      <w:r>
        <w:rPr>
          <w:bCs/>
          <w:b/>
        </w:rPr>
        <w:t xml:space="preserve">peneqiyqxq</w:t>
      </w:r>
    </w:p>
    <w:p>
      <w:pPr>
        <w:pStyle w:val="BodyText"/>
      </w:pPr>
      <w:r>
        <w:rPr>
          <w:iCs/>
          <w:i/>
        </w:rPr>
        <w:t xml:space="preserve">Disclaimer: This report is generated based on available data and industry standards. Actual emissions may vary based on specific operational details and data accuracy.</w:t>
      </w:r>
    </w:p>
    <w:bookmarkEnd w:id="20"/>
    <w:bookmarkStart w:id="46" w:name="X3aa779227e5db37c28955b799a64881549e451d"/>
    <w:p>
      <w:pPr>
        <w:pStyle w:val="Heading1"/>
      </w:pPr>
      <w:r>
        <w:t xml:space="preserve">Product Carbon Footprint Analysis Report: vvorfzpwtz</w:t>
      </w:r>
    </w:p>
    <w:p>
      <w:pPr>
        <w:pStyle w:val="FirstParagraph"/>
      </w:pPr>
      <w:r>
        <w:t xml:space="preserve">Generated Date: 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vvorfzpwtz</w:t>
      </w:r>
      <w:r>
        <w:t xml:space="preserve">, manufactured by</w:t>
      </w:r>
      <w:r>
        <w:t xml:space="preserve"> </w:t>
      </w:r>
      <w:r>
        <w:rPr>
          <w:bCs/>
          <w:b/>
        </w:rPr>
        <w:t xml:space="preserve">djiqiyrljx</w:t>
      </w:r>
      <w:r>
        <w:t xml:space="preserve">. The analysis was conducted by</w:t>
      </w:r>
      <w:r>
        <w:t xml:space="preserve"> </w:t>
      </w:r>
      <w:r>
        <w:rPr>
          <w:bCs/>
          <w:b/>
        </w:rPr>
        <w:t xml:space="preserve">peneqiyqxq</w:t>
      </w:r>
      <w:r>
        <w:t xml:space="preserve">, a Senior Sustainability Consultant specializing in the GHG Protocol. The objective is to quantify the greenhouse gas (GHG) emissions associated with the product\'s entire lifecycle, from material acquisition to end-of-life, adhering strictly to the GHG Protocol. Key parameters, including detailed Bill of Materials (BOM), transportation logistics, production energy, use phase consumption, and end-of-life scenarios, have been incorporated to provide a comprehensive and accurate assessment. This analysis also considers the latest 2026 updates to the GHG Protocol, particularly regarding Scope 3 coverage and the Land Sector and Removals (LSR) Standard.</w:t>
      </w:r>
    </w:p>
    <w:p>
      <w:r>
        <w:pict>
          <v:rect style="width:0;height:1.5pt" o:hralign="center" o:hrstd="t" o:hr="t"/>
        </w:pict>
      </w:r>
    </w:p>
    <w:bookmarkEnd w:id="21"/>
    <w:bookmarkStart w:id="23" w:name="defining-the-scope"/>
    <w:p>
      <w:pPr>
        <w:pStyle w:val="Heading2"/>
      </w:pPr>
      <w:r>
        <w:t xml:space="preserve">1. Defining the Scope</w:t>
      </w:r>
    </w:p>
    <w:p>
      <w:pPr>
        <w:pStyle w:val="FirstParagraph"/>
      </w:pPr>
      <w:r>
        <w:t xml:space="preserve">The initial step in this Product Carbon Footprint (PCF) analysis involves clearly defining the parameters that frame the study. This ensures consistency, transparency, and comparability of the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vvorfzpwtz</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signifies that the analysis covers all processes from raw material extraction (cradle) up to the point where the finished product leaves the manufacturing facility. Emissions beyond the factory gate (e.g., distribution, use, end-of-life) are treated as downstream Scope 3 emissions.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activities. This geographic consideration influences the selection of country-specific emission factors, particularly for electricity grids and regional transportation.</w:t>
      </w:r>
    </w:p>
    <w:p>
      <w:pPr>
        <w:numPr>
          <w:ilvl w:val="0"/>
          <w:numId w:val="1001"/>
        </w:numPr>
        <w:pStyle w:val="Compact"/>
      </w:pPr>
      <w:r>
        <w:rPr>
          <w:bCs/>
          <w:b/>
        </w:rPr>
        <w:t xml:space="preserve">Allocation:</w:t>
      </w:r>
      <w:r>
        <w:t xml:space="preserve"> </w:t>
      </w:r>
      <w:r>
        <w:t xml:space="preserve">Emissions are allocated directly to the functional unit (1.0 unit of vvorfzpwtz). Where shared processes or facilities are involved, standard allocation methods (e.g., mass-based or economic allocation, as per GHG Protocol guidance) are applied.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for corporate accounting and reporting. This framework categorizes emissions into three scopes:</w:t>
      </w:r>
    </w:p>
    <w:p>
      <w:pPr>
        <w:numPr>
          <w:ilvl w:val="1"/>
          <w:numId w:val="1002"/>
        </w:numPr>
        <w:pStyle w:val="Compact"/>
      </w:pPr>
      <w:r>
        <w:rPr>
          <w:bCs/>
          <w:b/>
        </w:rPr>
        <w:t xml:space="preserve">Scope 1:</w:t>
      </w:r>
      <w:r>
        <w:t xml:space="preserve"> </w:t>
      </w:r>
      <w:r>
        <w:t xml:space="preserve">Direct GHG emissions from sources owned or controlled by the company (e.g., combustion in owned vehicles or facilities).</w:t>
      </w:r>
    </w:p>
    <w:p>
      <w:pPr>
        <w:numPr>
          <w:ilvl w:val="1"/>
          <w:numId w:val="1002"/>
        </w:numPr>
        <w:pStyle w:val="Compact"/>
      </w:pPr>
      <w:r>
        <w:rPr>
          <w:bCs/>
          <w:b/>
        </w:rPr>
        <w:t xml:space="preserve">Scope 2:</w:t>
      </w:r>
      <w:r>
        <w:t xml:space="preserve"> </w:t>
      </w:r>
      <w:r>
        <w:t xml:space="preserve">Indirect GHG emissions from the generation of purchased electricity, steam, heat, or cooling consumed by the company.</w:t>
      </w:r>
    </w:p>
    <w:p>
      <w:pPr>
        <w:numPr>
          <w:ilvl w:val="1"/>
          <w:numId w:val="1002"/>
        </w:numPr>
        <w:pStyle w:val="Compact"/>
      </w:pPr>
      <w:r>
        <w:rPr>
          <w:bCs/>
          <w:b/>
        </w:rPr>
        <w:t xml:space="preserve">Scope 3:</w:t>
      </w:r>
      <w:r>
        <w:t xml:space="preserve"> </w:t>
      </w:r>
      <w:r>
        <w:t xml:space="preserve">All other indirect emissions that occur in the value chain of the reporting company, both upstream and downstream. This includes emissions from purchased goods and services, transportation, use of sold products, and end-of-life treatment of sold products.</w:t>
      </w:r>
    </w:p>
    <w:bookmarkStart w:id="22" w:name="ghg-protocol-2026-updates-and-compliance"/>
    <w:p>
      <w:pPr>
        <w:pStyle w:val="Heading3"/>
      </w:pPr>
      <w:r>
        <w:t xml:space="preserve">GHG Protocol 2026 Updates and Compliance</w:t>
      </w:r>
    </w:p>
    <w:p>
      <w:pPr>
        <w:pStyle w:val="FirstParagraph"/>
      </w:pPr>
      <w:r>
        <w:t xml:space="preserve">The GHG Protocol is continuously evolving to enhance the robustness and completeness of emissions reporting. This analysis considers the implications of the latest updates for 2026:</w:t>
      </w:r>
    </w:p>
    <w:p>
      <w:pPr>
        <w:numPr>
          <w:ilvl w:val="0"/>
          <w:numId w:val="1003"/>
        </w:numPr>
        <w:pStyle w:val="Compact"/>
      </w:pPr>
      <w:r>
        <w:rPr>
          <w:bCs/>
          <w:b/>
        </w:rPr>
        <w:t xml:space="preserve">Land Sector and Removals (LSR) Standard:</w:t>
      </w:r>
      <w:r>
        <w:t xml:space="preserve"> </w:t>
      </w:r>
      <w:r>
        <w:t xml:space="preserve">The GHG Protocol Land Sector and Removals (LSR) Standard, published on January 30, 2026, became effective on January 1, 2027. It provides accounting requirements and guidance for land emissions, CO</w:t>
      </w:r>
      <w:r>
        <w:rPr>
          <w:vertAlign w:val="subscript"/>
        </w:rPr>
        <w:t xml:space="preserve">2</w:t>
      </w:r>
      <w:r>
        <w:t xml:space="preserve"> </w:t>
      </w:r>
      <w:r>
        <w:t xml:space="preserve">removals, and technological CO</w:t>
      </w:r>
      <w:r>
        <w:rPr>
          <w:vertAlign w:val="subscript"/>
        </w:rPr>
        <w:t xml:space="preserve">2</w:t>
      </w:r>
      <w:r>
        <w:t xml:space="preserve"> </w:t>
      </w:r>
      <w:r>
        <w:t xml:space="preserve">removals. This standard is particularly relevant for entities with significant land sector activities or those choosing to report CO</w:t>
      </w:r>
      <w:r>
        <w:rPr>
          <w:vertAlign w:val="subscript"/>
        </w:rPr>
        <w:t xml:space="preserve">2</w:t>
      </w:r>
      <w:r>
        <w:t xml:space="preserve"> </w:t>
      </w:r>
      <w:r>
        <w:t xml:space="preserve">removals. While direct land use emissions for</w:t>
      </w:r>
      <w:r>
        <w:t xml:space="preserve"> </w:t>
      </w:r>
      <w:r>
        <w:rPr>
          <w:bCs/>
          <w:b/>
        </w:rPr>
        <w:t xml:space="preserve">vvorfzpwtz</w:t>
      </w:r>
      <w:r>
        <w:t xml:space="preserve"> </w:t>
      </w:r>
      <w:r>
        <w:t xml:space="preserve">are not explicitly modeled here due to its nature as an electronic product, the principles of accounting for emissions from raw material extraction and any associated land-use change within the upstream supply chain are incorporated under Scope 3. Forest carbon accounting is not included in this version of the LSR Standard.</w:t>
      </w:r>
    </w:p>
    <w:p>
      <w:pPr>
        <w:numPr>
          <w:ilvl w:val="0"/>
          <w:numId w:val="1003"/>
        </w:numPr>
        <w:pStyle w:val="Compact"/>
      </w:pPr>
      <w:r>
        <w:rPr>
          <w:bCs/>
          <w:b/>
        </w:rPr>
        <w:t xml:space="preserve">Scope 3 Compliance (95% Coverage):</w:t>
      </w:r>
      <w:r>
        <w:t xml:space="preserve"> </w:t>
      </w:r>
      <w:r>
        <w:t xml:space="preserve">A significant proposed revision to the GHG Protocol\'s Scope 3 Standard for 2026 introduces a prescriptive completeness requirement: companies must account for and report at least 95% of total required Scope 3 emissions. Exclusions cannot exceed 5% of required Scope 3 emissions. This report aims for comprehensive Scope 3 coverage, incorporating all identifiable material and energy flows throughout the product\'s value chain to meet or exceed this stringent requirement. Furthermore, the updates emphasize mandatory data disaggregation by source type (primary vs. secondary) and disclosure of verification status, which are critical for enhancing transparency and data quality.</w:t>
      </w:r>
    </w:p>
    <w:p>
      <w:r>
        <w:pict>
          <v:rect style="width:0;height:1.5pt" o:hralign="center" o:hrstd="t" o:hr="t"/>
        </w:pict>
      </w:r>
    </w:p>
    <w:bookmarkEnd w:id="22"/>
    <w:bookmarkEnd w:id="23"/>
    <w:bookmarkStart w:id="29" w:name="X02ee0476bd3b09373e5497b8be8e9974c8b887d"/>
    <w:p>
      <w:pPr>
        <w:pStyle w:val="Heading2"/>
      </w:pPr>
      <w:r>
        <w:t xml:space="preserve">2. Mapping the Lifecycle and 3. Collecting Data</w:t>
      </w:r>
    </w:p>
    <w:p>
      <w:pPr>
        <w:pStyle w:val="FirstParagraph"/>
      </w:pPr>
      <w:r>
        <w:t xml:space="preserve">This section outlines the lifecycle stages of</w:t>
      </w:r>
      <w:r>
        <w:t xml:space="preserve"> </w:t>
      </w:r>
      <w:r>
        <w:rPr>
          <w:bCs/>
          <w:b/>
        </w:rPr>
        <w:t xml:space="preserve">vvorfzpwtz</w:t>
      </w:r>
      <w:r>
        <w:t xml:space="preserve"> </w:t>
      </w:r>
      <w:r>
        <w:t xml:space="preserve">and details the data collected for the Life Cycle Inventory (LCI), including material inputs, energy consumption, and transportation. The data provided in the parameters are used for high-accuracy calculations. Emission factors are drawn from industry-standard databases such as Ecoinvent and DEFRA, or other authoritative sources, and are explicitly referenced where applicable.</w:t>
      </w:r>
    </w:p>
    <w:p>
      <w:pPr>
        <w:pStyle w:val="BodyText"/>
      </w:pPr>
      <w:r>
        <w:rPr>
          <w:iCs/>
          <w:i/>
        </w:rPr>
        <w:t xml:space="preserve">Note: The specific values for BOM, transport mode, distances, energy usage, lifespan, and recyclability were provided as placeholders. For the purpose of this high-detail analysis, plausible and illustrative data have been generated to demonstrate the methodology and calculations. These illustrative values are clearly indicated below.</w:t>
      </w:r>
    </w:p>
    <w:bookmarkStart w:id="24" w:name="Xac821cbab82d35f5df3ca4ebc983927c276c750"/>
    <w:p>
      <w:pPr>
        <w:pStyle w:val="Heading3"/>
      </w:pPr>
      <w:r>
        <w:t xml:space="preserve">2.1. Material Acquisition &amp; Manufacturing (Upstream - Scope 3, Category 1)</w:t>
      </w:r>
    </w:p>
    <w:p>
      <w:pPr>
        <w:pStyle w:val="FirstParagraph"/>
      </w:pPr>
      <w:r>
        <w:t xml:space="preserve">The Bill of Materials (BOM) for</w:t>
      </w:r>
      <w:r>
        <w:t xml:space="preserve"> </w:t>
      </w:r>
      <w:r>
        <w:rPr>
          <w:bCs/>
          <w:b/>
        </w:rPr>
        <w:t xml:space="preserve">vvorfzpwtz</w:t>
      </w:r>
      <w:r>
        <w:t xml:space="preserve"> </w:t>
      </w:r>
      <w:r>
        <w:t xml:space="preserve">(originally `ppgzkdey`) provides the foundation for calculating emissions from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7.0</w:t>
            </w:r>
            <w:r>
              <w:t xml:space="preserve"> </w:t>
            </w:r>
            <w:r>
              <w:t xml:space="preserve">(Illustrative, based on primary aluminum production)</w:t>
            </w:r>
          </w:p>
        </w:tc>
        <w:tc>
          <w:tcPr/>
          <w:p>
            <w:pPr>
              <w:pStyle w:val="Compact"/>
              <w:jc w:val="left"/>
            </w:pPr>
            <w:r>
              <w:t xml:space="preserve">0.3500</w:t>
            </w:r>
          </w:p>
        </w:tc>
      </w:tr>
      <w:tr>
        <w:tc>
          <w:tcPr/>
          <w:p>
            <w:pPr>
              <w:pStyle w:val="Compact"/>
              <w:jc w:val="left"/>
            </w:pPr>
            <w:r>
              <w:t xml:space="preserve">P1</w:t>
            </w:r>
          </w:p>
        </w:tc>
        <w:tc>
          <w:tcPr/>
          <w:p>
            <w:pPr>
              <w:pStyle w:val="Compact"/>
              <w:jc w:val="left"/>
            </w:pPr>
            <w:r>
              <w:t xml:space="preserve">ABS Plastic Base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r>
              <w:t xml:space="preserve"> </w:t>
            </w:r>
            <w:r>
              <w:t xml:space="preserve">(Illustrative, based on ABS plastic production)</w:t>
            </w:r>
          </w:p>
        </w:tc>
        <w:tc>
          <w:tcPr/>
          <w:p>
            <w:pPr>
              <w:pStyle w:val="Compact"/>
              <w:jc w:val="left"/>
            </w:pPr>
            <w:r>
              <w:t xml:space="preserve">0.0900</w:t>
            </w:r>
          </w:p>
        </w:tc>
      </w:tr>
      <w:tr>
        <w:tc>
          <w:tcPr/>
          <w:p>
            <w:pPr>
              <w:pStyle w:val="Compact"/>
              <w:jc w:val="left"/>
            </w:pPr>
            <w:r>
              <w:t xml:space="preserve">E1</w:t>
            </w:r>
          </w:p>
        </w:tc>
        <w:tc>
          <w:tcPr/>
          <w:p>
            <w:pPr>
              <w:pStyle w:val="Compact"/>
              <w:jc w:val="left"/>
            </w:pPr>
            <w:r>
              <w:t xml:space="preserve">Printed 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r>
              <w:t xml:space="preserve"> </w:t>
            </w:r>
            <w:r>
              <w:t xml:space="preserve">(Illustrative, based on PCB manufacturing for active components)</w:t>
            </w:r>
          </w:p>
        </w:tc>
        <w:tc>
          <w:tcPr/>
          <w:p>
            <w:pPr>
              <w:pStyle w:val="Compact"/>
              <w:jc w:val="left"/>
            </w:pPr>
            <w:r>
              <w:t xml:space="preserve">0.9000</w:t>
            </w:r>
          </w:p>
        </w:tc>
      </w:tr>
      <w:tr>
        <w:tc>
          <w:tcPr/>
          <w:p>
            <w:pPr>
              <w:pStyle w:val="Compact"/>
              <w:jc w:val="left"/>
            </w:pPr>
            <w:r>
              <w:t xml:space="preserve">B1</w:t>
            </w:r>
          </w:p>
        </w:tc>
        <w:tc>
          <w:tcPr/>
          <w:p>
            <w:pPr>
              <w:pStyle w:val="Compact"/>
              <w:jc w:val="left"/>
            </w:pPr>
            <w:r>
              <w:t xml:space="preserve">Small Li-ion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r>
              <w:t xml:space="preserve"> </w:t>
            </w:r>
            <w:r>
              <w:t xml:space="preserve">(Illustrative, based on Li-ion battery manufacturing)</w:t>
            </w:r>
          </w:p>
        </w:tc>
        <w:tc>
          <w:tcPr/>
          <w:p>
            <w:pPr>
              <w:pStyle w:val="Compact"/>
              <w:jc w:val="left"/>
            </w:pPr>
            <w:r>
              <w:t xml:space="preserve">0.5000</w:t>
            </w:r>
          </w:p>
        </w:tc>
      </w:tr>
      <w:tr>
        <w:tc>
          <w:tcPr/>
          <w:p>
            <w:pPr>
              <w:pStyle w:val="Compact"/>
              <w:jc w:val="left"/>
            </w:pPr>
            <w:r>
              <w:t xml:space="preserve">W1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4.1</w:t>
            </w:r>
            <w:r>
              <w:t xml:space="preserve"> </w:t>
            </w:r>
            <w:r>
              <w:t xml:space="preserve">(Illustrative, based on copper production)</w:t>
            </w:r>
          </w:p>
        </w:tc>
        <w:tc>
          <w:tcPr/>
          <w:p>
            <w:pPr>
              <w:pStyle w:val="Compact"/>
              <w:jc w:val="left"/>
            </w:pPr>
            <w:r>
              <w:t xml:space="preserve">0.0205</w:t>
            </w:r>
          </w:p>
        </w:tc>
      </w:tr>
      <w:tr>
        <w:tc>
          <w:tcPr>
            <w:gridSpan w:val="7"/>
          </w:tcPr>
          <w:p>
            <w:pPr>
              <w:pStyle w:val="Compact"/>
              <w:jc w:val="right"/>
            </w:pPr>
            <w:r>
              <w:t xml:space="preserve">Sub-Total Material Carbon (kg CO2e):</w:t>
            </w:r>
          </w:p>
        </w:tc>
        <w:tc>
          <w:tcPr/>
          <w:p>
            <w:pPr>
              <w:pStyle w:val="Compact"/>
              <w:jc w:val="left"/>
            </w:pPr>
            <w:r>
              <w:rPr>
                <w:bCs/>
                <w:b/>
              </w:rPr>
              <w:t xml:space="preserve">1.8605</w:t>
            </w:r>
          </w:p>
        </w:tc>
      </w:tr>
    </w:tbl>
    <w:bookmarkEnd w:id="24"/>
    <w:bookmarkStart w:id="25" w:name="X9c5f3eacc1b09fafabedad1423bfcc5ecbd8ec5"/>
    <w:p>
      <w:pPr>
        <w:pStyle w:val="Heading3"/>
      </w:pPr>
      <w:r>
        <w:t xml:space="preserve">2.2. Production Energy (Production Phase - Scope 2)</w:t>
      </w:r>
    </w:p>
    <w:p>
      <w:pPr>
        <w:pStyle w:val="FirstParagraph"/>
      </w:pPr>
      <w:r>
        <w:t xml:space="preserve">The energy consumed during the manufacturing of</w:t>
      </w:r>
      <w:r>
        <w:t xml:space="preserve"> </w:t>
      </w:r>
      <w:r>
        <w:rPr>
          <w:bCs/>
          <w:b/>
        </w:rPr>
        <w:t xml:space="preserve">vvorfzpwtz</w:t>
      </w:r>
      <w:r>
        <w:t xml:space="preserve"> </w:t>
      </w:r>
      <w:r>
        <w:t xml:space="preserve">in China significantly contributes to its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(sovzfjfqqn)</w:t>
            </w:r>
          </w:p>
        </w:tc>
        <w:tc>
          <w:tcPr/>
          <w:p>
            <w:pPr>
              <w:pStyle w:val="Compact"/>
              <w:jc w:val="left"/>
            </w:pPr>
            <w:r>
              <w:t xml:space="preserve">20</w:t>
            </w:r>
          </w:p>
        </w:tc>
        <w:tc>
          <w:tcPr/>
          <w:p>
            <w:pPr>
              <w:pStyle w:val="Compact"/>
              <w:jc w:val="left"/>
            </w:pPr>
            <w:r>
              <w:t xml:space="preserve">kWh/unit</w:t>
            </w:r>
          </w:p>
        </w:tc>
        <w:tc>
          <w:tcPr/>
          <w:p>
            <w:pPr>
              <w:pStyle w:val="Compact"/>
              <w:jc w:val="left"/>
            </w:pPr>
            <w:r>
              <w:t xml:space="preserve">Total energy required for production per unit.</w:t>
            </w:r>
          </w:p>
        </w:tc>
      </w:tr>
      <w:tr>
        <w:tc>
          <w:tcPr/>
          <w:p>
            <w:pPr>
              <w:pStyle w:val="Compact"/>
              <w:jc w:val="left"/>
            </w:pPr>
            <w:r>
              <w:t xml:space="preserve">Renewable Energy Usage (pvtlhnnuxn)</w:t>
            </w:r>
          </w:p>
        </w:tc>
        <w:tc>
          <w:tcPr/>
          <w:p>
            <w:pPr>
              <w:pStyle w:val="Compact"/>
              <w:jc w:val="left"/>
            </w:pPr>
            <w:r>
              <w:t xml:space="preserve">60</w:t>
            </w:r>
          </w:p>
        </w:tc>
        <w:tc>
          <w:tcPr/>
          <w:p>
            <w:pPr>
              <w:pStyle w:val="Compact"/>
              <w:jc w:val="left"/>
            </w:pPr>
            <w:r>
              <w:t xml:space="preserve">%</w:t>
            </w:r>
          </w:p>
        </w:tc>
        <w:tc>
          <w:tcPr/>
          <w:p>
            <w:pPr>
              <w:pStyle w:val="Compact"/>
              <w:jc w:val="left"/>
            </w:pPr>
            <w:r>
              <w:t xml:space="preserve">Percentage of production energy sourced from renewables.</w:t>
            </w:r>
          </w:p>
        </w:tc>
      </w:tr>
      <w:tr>
        <w:tc>
          <w:tcPr/>
          <w:p>
            <w:pPr>
              <w:pStyle w:val="Compact"/>
              <w:jc w:val="left"/>
            </w:pPr>
            <w:r>
              <w:t xml:space="preserve">Grid Electricity Factor (China)</w:t>
            </w:r>
          </w:p>
        </w:tc>
        <w:tc>
          <w:tcPr/>
          <w:p>
            <w:pPr>
              <w:pStyle w:val="Compact"/>
              <w:jc w:val="left"/>
            </w:pPr>
            <w:r>
              <w:t xml:space="preserve">0.6</w:t>
            </w:r>
          </w:p>
        </w:tc>
        <w:tc>
          <w:tcPr/>
          <w:p>
            <w:pPr>
              <w:pStyle w:val="Compact"/>
              <w:jc w:val="left"/>
            </w:pPr>
            <w:r>
              <w:t xml:space="preserve">kg CO2e/kWh</w:t>
            </w:r>
          </w:p>
        </w:tc>
        <w:tc>
          <w:tcPr/>
          <w:p>
            <w:pPr>
              <w:pStyle w:val="Compact"/>
              <w:jc w:val="left"/>
            </w:pPr>
            <w:r>
              <w:t xml:space="preserve">Illustrative average for China\'s grid mix (e.g., 0.6144 tCO2e/MWh (0.6144 kg CO2e/kWh) for 2025 predicted values, 0.6835 tCO2e/MWh (0.6835 kg CO2e/kWh) for 2021, 0.556 kg CO2e/kWh (CO2 only) from Climate Transparency Report 2020).</w:t>
            </w:r>
          </w:p>
        </w:tc>
      </w:tr>
    </w:tbl>
    <w:bookmarkEnd w:id="25"/>
    <w:bookmarkStart w:id="26" w:name="X7870b3c77cfe9439da0acd9078f189e648eb11b"/>
    <w:p>
      <w:pPr>
        <w:pStyle w:val="Heading3"/>
      </w:pPr>
      <w:r>
        <w:t xml:space="preserve">2.3. Transportation (Upstream &amp; Downstream - Scope 3, Category 4 &amp; 9)</w:t>
      </w:r>
    </w:p>
    <w:p>
      <w:pPr>
        <w:pStyle w:val="FirstParagraph"/>
      </w:pPr>
      <w:r>
        <w:t xml:space="preserve">Logistics play a crucial role, covering the transport of materials to the factory and finished products to the market. Product weight for transport calculations is assumed to be 0.15 kg per unit (device + minimal packaging).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Segment</w:t>
            </w:r>
          </w:p>
        </w:tc>
        <w:tc>
          <w:tcPr/>
          <w:p>
            <w:pPr>
              <w:pStyle w:val="Compact"/>
              <w:jc w:val="left"/>
            </w:pPr>
            <w:r>
              <w:t xml:space="preserve">Transport Mode (Select Mode)</w:t>
            </w:r>
          </w:p>
        </w:tc>
        <w:tc>
          <w:tcPr/>
          <w:p>
            <w:pPr>
              <w:pStyle w:val="Compact"/>
              <w:jc w:val="left"/>
            </w:pPr>
            <w:r>
              <w:t xml:space="preserve">Distance (ypkfnqkrkh)</w:t>
            </w:r>
          </w:p>
        </w:tc>
        <w:tc>
          <w:tcPr/>
          <w:p>
            <w:pPr>
              <w:pStyle w:val="Compact"/>
              <w:jc w:val="left"/>
            </w:pPr>
            <w:r>
              <w:t xml:space="preserve">Unit</w:t>
            </w:r>
          </w:p>
        </w:tc>
        <w:tc>
          <w:tcPr/>
          <w:p>
            <w:pPr>
              <w:pStyle w:val="Compact"/>
              <w:jc w:val="left"/>
            </w:pPr>
            <w:r>
              <w:t xml:space="preserve">Emission Factor (g CO2e/tonne-km)</w:t>
            </w:r>
          </w:p>
        </w:tc>
        <w:tc>
          <w:tcPr/>
          <w:p>
            <w:pPr>
              <w:pStyle w:val="Compact"/>
              <w:jc w:val="left"/>
            </w:pPr>
            <w:r>
              <w:t xml:space="preserve">Product Weight (tonnes)</w:t>
            </w:r>
          </w:p>
        </w:tc>
        <w:tc>
          <w:tcPr/>
          <w:p>
            <w:pPr>
              <w:pStyle w:val="Compact"/>
              <w:jc w:val="left"/>
            </w:pPr>
            <w:r>
              <w:t xml:space="preserve">Total Carbon (kg CO2e)</w:t>
            </w:r>
          </w:p>
        </w:tc>
      </w:tr>
      <w:tr>
        <w:tc>
          <w:tcPr/>
          <w:p>
            <w:pPr>
              <w:pStyle w:val="Compact"/>
              <w:jc w:val="left"/>
            </w:pPr>
            <w:r>
              <w:t xml:space="preserve">Upstream (Materials from Europe to China)</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16</w:t>
            </w:r>
            <w:r>
              <w:t xml:space="preserve"> </w:t>
            </w:r>
            <w:r>
              <w:t xml:space="preserve">(Illustrative, container ships average)</w:t>
            </w:r>
          </w:p>
        </w:tc>
        <w:tc>
          <w:tcPr/>
          <w:p>
            <w:pPr>
              <w:pStyle w:val="Compact"/>
              <w:jc w:val="left"/>
            </w:pPr>
            <w:r>
              <w:t xml:space="preserve">0.00015</w:t>
            </w:r>
          </w:p>
        </w:tc>
        <w:tc>
          <w:tcPr/>
          <w:p>
            <w:pPr>
              <w:pStyle w:val="Compact"/>
              <w:jc w:val="left"/>
            </w:pPr>
            <w:r>
              <w:t xml:space="preserve">0.0360</w:t>
            </w:r>
          </w:p>
        </w:tc>
      </w:tr>
      <w:tr>
        <w:tc>
          <w:tcPr/>
          <w:p>
            <w:pPr>
              <w:pStyle w:val="Compact"/>
              <w:jc w:val="left"/>
            </w:pPr>
            <w:r>
              <w:t xml:space="preserve">Upstream (Regional Road Transport, China)</w:t>
            </w:r>
          </w:p>
        </w:tc>
        <w:tc>
          <w:tcPr/>
          <w:p>
            <w:pPr>
              <w:pStyle w:val="Compact"/>
              <w:jc w:val="left"/>
            </w:pPr>
            <w:r>
              <w:t xml:space="preserve">Road Transport (Heavy Duty Truck)</w:t>
            </w:r>
          </w:p>
        </w:tc>
        <w:tc>
          <w:tcPr/>
          <w:p>
            <w:pPr>
              <w:pStyle w:val="Compact"/>
              <w:jc w:val="left"/>
            </w:pPr>
            <w:r>
              <w:t xml:space="preserve">500</w:t>
            </w:r>
          </w:p>
        </w:tc>
        <w:tc>
          <w:tcPr/>
          <w:p>
            <w:pPr>
              <w:pStyle w:val="Compact"/>
              <w:jc w:val="left"/>
            </w:pPr>
            <w:r>
              <w:t xml:space="preserve">km</w:t>
            </w:r>
          </w:p>
        </w:tc>
        <w:tc>
          <w:tcPr/>
          <w:p>
            <w:pPr>
              <w:pStyle w:val="Compact"/>
              <w:jc w:val="left"/>
            </w:pPr>
            <w:r>
              <w:t xml:space="preserve">70</w:t>
            </w:r>
            <w:r>
              <w:t xml:space="preserve"> </w:t>
            </w:r>
            <w:r>
              <w:t xml:space="preserve">(Illustrative, heavy duty truck)</w:t>
            </w:r>
          </w:p>
        </w:tc>
        <w:tc>
          <w:tcPr/>
          <w:p>
            <w:pPr>
              <w:pStyle w:val="Compact"/>
              <w:jc w:val="left"/>
            </w:pPr>
            <w:r>
              <w:t xml:space="preserve">0.00015</w:t>
            </w:r>
          </w:p>
        </w:tc>
        <w:tc>
          <w:tcPr/>
          <w:p>
            <w:pPr>
              <w:pStyle w:val="Compact"/>
              <w:jc w:val="left"/>
            </w:pPr>
            <w:r>
              <w:t xml:space="preserve">0.00525</w:t>
            </w:r>
          </w:p>
        </w:tc>
      </w:tr>
      <w:tr>
        <w:tc>
          <w:tcPr/>
          <w:p>
            <w:pPr>
              <w:pStyle w:val="Compact"/>
              <w:jc w:val="left"/>
            </w:pPr>
            <w:r>
              <w:t xml:space="preserve">Downstream (Product from China to Europe)</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16</w:t>
            </w:r>
            <w:r>
              <w:t xml:space="preserve"> </w:t>
            </w:r>
            <w:r>
              <w:t xml:space="preserve">(Illustrative, container ships average)</w:t>
            </w:r>
          </w:p>
        </w:tc>
        <w:tc>
          <w:tcPr/>
          <w:p>
            <w:pPr>
              <w:pStyle w:val="Compact"/>
              <w:jc w:val="left"/>
            </w:pPr>
            <w:r>
              <w:t xml:space="preserve">0.00015</w:t>
            </w:r>
          </w:p>
        </w:tc>
        <w:tc>
          <w:tcPr/>
          <w:p>
            <w:pPr>
              <w:pStyle w:val="Compact"/>
              <w:jc w:val="left"/>
            </w:pPr>
            <w:r>
              <w:t xml:space="preserve">0.0360</w:t>
            </w:r>
          </w:p>
        </w:tc>
      </w:tr>
      <w:tr>
        <w:tc>
          <w:tcPr/>
          <w:p>
            <w:pPr>
              <w:pStyle w:val="Compact"/>
              <w:jc w:val="left"/>
            </w:pPr>
            <w:r>
              <w:t xml:space="preserve">Downstream (Regional Road Transport, Europe)</w:t>
            </w:r>
          </w:p>
        </w:tc>
        <w:tc>
          <w:tcPr/>
          <w:p>
            <w:pPr>
              <w:pStyle w:val="Compact"/>
              <w:jc w:val="left"/>
            </w:pPr>
            <w:r>
              <w:t xml:space="preserve">Road Transport (Heavy Duty Truck)</w:t>
            </w:r>
          </w:p>
        </w:tc>
        <w:tc>
          <w:tcPr/>
          <w:p>
            <w:pPr>
              <w:pStyle w:val="Compact"/>
              <w:jc w:val="left"/>
            </w:pPr>
            <w:r>
              <w:t xml:space="preserve">500</w:t>
            </w:r>
          </w:p>
        </w:tc>
        <w:tc>
          <w:tcPr/>
          <w:p>
            <w:pPr>
              <w:pStyle w:val="Compact"/>
              <w:jc w:val="left"/>
            </w:pPr>
            <w:r>
              <w:t xml:space="preserve">km</w:t>
            </w:r>
          </w:p>
        </w:tc>
        <w:tc>
          <w:tcPr/>
          <w:p>
            <w:pPr>
              <w:pStyle w:val="Compact"/>
              <w:jc w:val="left"/>
            </w:pPr>
            <w:r>
              <w:t xml:space="preserve">70</w:t>
            </w:r>
            <w:r>
              <w:t xml:space="preserve"> </w:t>
            </w:r>
            <w:r>
              <w:t xml:space="preserve">(Illustrative, heavy duty truck)</w:t>
            </w:r>
          </w:p>
        </w:tc>
        <w:tc>
          <w:tcPr/>
          <w:p>
            <w:pPr>
              <w:pStyle w:val="Compact"/>
              <w:jc w:val="left"/>
            </w:pPr>
            <w:r>
              <w:t xml:space="preserve">0.00015</w:t>
            </w:r>
          </w:p>
        </w:tc>
        <w:tc>
          <w:tcPr/>
          <w:p>
            <w:pPr>
              <w:pStyle w:val="Compact"/>
              <w:jc w:val="left"/>
            </w:pPr>
            <w:r>
              <w:t xml:space="preserve">0.00525</w:t>
            </w:r>
          </w:p>
        </w:tc>
      </w:tr>
      <w:tr>
        <w:tc>
          <w:tcPr/>
          <w:p>
            <w:pPr>
              <w:pStyle w:val="Compact"/>
              <w:jc w:val="left"/>
            </w:pPr>
            <w:r>
              <w:t xml:space="preserve">Last-Mile Delivery (Delivery Type)</w:t>
            </w:r>
          </w:p>
        </w:tc>
        <w:tc>
          <w:tcPr/>
          <w:p>
            <w:pPr>
              <w:pStyle w:val="Compact"/>
              <w:jc w:val="left"/>
            </w:pPr>
            <w:r>
              <w:t xml:space="preserve">Road Transport (Light Commercial Van)</w:t>
            </w:r>
          </w:p>
        </w:tc>
        <w:tc>
          <w:tcPr/>
          <w:p>
            <w:pPr>
              <w:pStyle w:val="Compact"/>
              <w:jc w:val="left"/>
            </w:pPr>
            <w:r>
              <w:t xml:space="preserve">50</w:t>
            </w:r>
          </w:p>
        </w:tc>
        <w:tc>
          <w:tcPr/>
          <w:p>
            <w:pPr>
              <w:pStyle w:val="Compact"/>
              <w:jc w:val="left"/>
            </w:pPr>
            <w:r>
              <w:t xml:space="preserve">km</w:t>
            </w:r>
          </w:p>
        </w:tc>
        <w:tc>
          <w:tcPr/>
          <w:p>
            <w:pPr>
              <w:pStyle w:val="Compact"/>
              <w:jc w:val="left"/>
            </w:pPr>
            <w:r>
              <w:t xml:space="preserve">150</w:t>
            </w:r>
            <w:r>
              <w:t xml:space="preserve"> </w:t>
            </w:r>
            <w:r>
              <w:t xml:space="preserve">(Illustrative, light commercial vehicle)</w:t>
            </w:r>
          </w:p>
        </w:tc>
        <w:tc>
          <w:tcPr/>
          <w:p>
            <w:pPr>
              <w:pStyle w:val="Compact"/>
              <w:jc w:val="left"/>
            </w:pPr>
            <w:r>
              <w:t xml:space="preserve">0.00015</w:t>
            </w:r>
          </w:p>
        </w:tc>
        <w:tc>
          <w:tcPr/>
          <w:p>
            <w:pPr>
              <w:pStyle w:val="Compact"/>
              <w:jc w:val="left"/>
            </w:pPr>
            <w:r>
              <w:t xml:space="preserve">0.001125</w:t>
            </w:r>
          </w:p>
        </w:tc>
      </w:tr>
      <w:tr>
        <w:tc>
          <w:tcPr>
            <w:gridSpan w:val="6"/>
          </w:tcPr>
          <w:p>
            <w:pPr>
              <w:pStyle w:val="Compact"/>
              <w:jc w:val="right"/>
            </w:pPr>
            <w:r>
              <w:t xml:space="preserve">Sub-Total Transport Carbon (kg CO2e):</w:t>
            </w:r>
          </w:p>
        </w:tc>
        <w:tc>
          <w:tcPr/>
          <w:p>
            <w:pPr>
              <w:pStyle w:val="Compact"/>
              <w:jc w:val="left"/>
            </w:pPr>
            <w:r>
              <w:rPr>
                <w:bCs/>
                <w:b/>
              </w:rPr>
              <w:t xml:space="preserve">0.0836</w:t>
            </w:r>
          </w:p>
        </w:tc>
      </w:tr>
    </w:tbl>
    <w:bookmarkEnd w:id="26"/>
    <w:bookmarkStart w:id="27" w:name="X01fffecb4d51cf9638741502492363d57dc681a"/>
    <w:p>
      <w:pPr>
        <w:pStyle w:val="Heading3"/>
      </w:pPr>
      <w:r>
        <w:t xml:space="preserve">2.4. Use Phase (Downstream - Scope 3, Category 11)</w:t>
      </w:r>
    </w:p>
    <w:p>
      <w:pPr>
        <w:pStyle w:val="FirstParagraph"/>
      </w:pPr>
      <w:r>
        <w:t xml:space="preserve">The emissions generated during the product\'s operational life are calculated based on its lifespan and energy consumption. Use is assumed to be in Europe.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(lnfifhjksn)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functional life of the product.</w:t>
            </w:r>
          </w:p>
        </w:tc>
      </w:tr>
      <w:tr>
        <w:tc>
          <w:tcPr/>
          <w:p>
            <w:pPr>
              <w:pStyle w:val="Compact"/>
              <w:jc w:val="left"/>
            </w:pPr>
            <w:r>
              <w:t xml:space="preserve">Energy Consumption in Use (mynjomfjws)</w:t>
            </w:r>
          </w:p>
        </w:tc>
        <w:tc>
          <w:tcPr/>
          <w:p>
            <w:pPr>
              <w:pStyle w:val="Compact"/>
              <w:jc w:val="left"/>
            </w:pPr>
            <w:r>
              <w:t xml:space="preserve">15</w:t>
            </w:r>
          </w:p>
        </w:tc>
        <w:tc>
          <w:tcPr/>
          <w:p>
            <w:pPr>
              <w:pStyle w:val="Compact"/>
              <w:jc w:val="left"/>
            </w:pPr>
            <w:r>
              <w:t xml:space="preserve">kWh/year</w:t>
            </w:r>
          </w:p>
        </w:tc>
        <w:tc>
          <w:tcPr/>
          <w:p>
            <w:pPr>
              <w:pStyle w:val="Compact"/>
              <w:jc w:val="left"/>
            </w:pPr>
            <w:r>
              <w:t xml:space="preserve">Average annual energy consumption.</w:t>
            </w:r>
          </w:p>
        </w:tc>
      </w:tr>
      <w:tr>
        <w:tc>
          <w:tcPr/>
          <w:p>
            <w:pPr>
              <w:pStyle w:val="Compact"/>
              <w:jc w:val="left"/>
            </w:pPr>
            <w:r>
              <w:t xml:space="preserve">Electricity Grid Factor (Europe)</w:t>
            </w:r>
          </w:p>
        </w:tc>
        <w:tc>
          <w:tcPr/>
          <w:p>
            <w:pPr>
              <w:pStyle w:val="Compact"/>
              <w:jc w:val="left"/>
            </w:pPr>
            <w:r>
              <w:t xml:space="preserve">0.25</w:t>
            </w:r>
          </w:p>
        </w:tc>
        <w:tc>
          <w:tcPr/>
          <w:p>
            <w:pPr>
              <w:pStyle w:val="Compact"/>
              <w:jc w:val="left"/>
            </w:pPr>
            <w:r>
              <w:t xml:space="preserve">kg CO2e/kWh</w:t>
            </w:r>
          </w:p>
        </w:tc>
        <w:tc>
          <w:tcPr/>
          <w:p>
            <w:pPr>
              <w:pStyle w:val="Compact"/>
              <w:jc w:val="left"/>
            </w:pPr>
            <w:r>
              <w:t xml:space="preserve">Illustrative average for European electricity mix.</w:t>
            </w:r>
          </w:p>
        </w:tc>
      </w:tr>
    </w:tbl>
    <w:bookmarkEnd w:id="27"/>
    <w:bookmarkStart w:id="28" w:name="X7f89d00135b2cb99d8b0d40c8751bd2d45ee8b9"/>
    <w:p>
      <w:pPr>
        <w:pStyle w:val="Heading3"/>
      </w:pPr>
      <w:r>
        <w:t xml:space="preserve">2.5. End-of-Life (EoL) (Downstream - Scope 3, Category 12)</w:t>
      </w:r>
    </w:p>
    <w:p>
      <w:pPr>
        <w:pStyle w:val="FirstParagraph"/>
      </w:pPr>
      <w:r>
        <w:t xml:space="preserve">The environmental impact at the end of the product\'s life is assessed based on its recyclability and the existence of circular programs.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 (vhxkdplglj)</w:t>
            </w:r>
          </w:p>
        </w:tc>
        <w:tc>
          <w:tcPr/>
          <w:p>
            <w:pPr>
              <w:pStyle w:val="Compact"/>
              <w:jc w:val="left"/>
            </w:pPr>
            <w:r>
              <w:t xml:space="preserve">75</w:t>
            </w:r>
          </w:p>
        </w:tc>
        <w:tc>
          <w:tcPr/>
          <w:p>
            <w:pPr>
              <w:pStyle w:val="Compact"/>
              <w:jc w:val="left"/>
            </w:pPr>
            <w:r>
              <w:t xml:space="preserve">%</w:t>
            </w:r>
          </w:p>
        </w:tc>
        <w:tc>
          <w:tcPr/>
          <w:p>
            <w:pPr>
              <w:pStyle w:val="Compact"/>
              <w:jc w:val="left"/>
            </w:pPr>
            <w:r>
              <w:t xml:space="preserve">Portion of the product designed to be recycled.</w:t>
            </w:r>
          </w:p>
        </w:tc>
      </w:tr>
      <w:tr>
        <w:tc>
          <w:tcPr/>
          <w:p>
            <w:pPr>
              <w:pStyle w:val="Compact"/>
              <w:jc w:val="left"/>
            </w:pPr>
            <w:r>
              <w:t xml:space="preserve">Circular/Take-back Programs (hpmdkgnojs)</w:t>
            </w:r>
          </w:p>
        </w:tc>
        <w:tc>
          <w:tcPr/>
          <w:p>
            <w:pPr>
              <w:pStyle w:val="Compact"/>
              <w:jc w:val="left"/>
            </w:pPr>
            <w:r>
              <w:t xml:space="preserve">Yes</w:t>
            </w:r>
          </w:p>
        </w:tc>
        <w:tc>
          <w:tcPr/>
          <w:p>
            <w:pPr>
              <w:pStyle w:val="Compact"/>
              <w:jc w:val="left"/>
            </w:pPr>
            <w:r>
              <w:t xml:space="preserve">-</w:t>
            </w:r>
          </w:p>
        </w:tc>
        <w:tc>
          <w:tcPr/>
          <w:p>
            <w:pPr>
              <w:pStyle w:val="Compact"/>
              <w:jc w:val="left"/>
            </w:pPr>
            <w:r>
              <w:t xml:space="preserve">Indicates the presence of programs facilitating material recovery.</w:t>
            </w:r>
          </w:p>
        </w:tc>
      </w:tr>
      <w:tr>
        <w:tc>
          <w:tcPr/>
          <w:p>
            <w:pPr>
              <w:pStyle w:val="Compact"/>
              <w:jc w:val="left"/>
            </w:pPr>
            <w:r>
              <w:t xml:space="preserve">Product Mass to EoL (non-recycled)</w:t>
            </w:r>
          </w:p>
        </w:tc>
        <w:tc>
          <w:tcPr/>
          <w:p>
            <w:pPr>
              <w:pStyle w:val="Compact"/>
              <w:jc w:val="left"/>
            </w:pPr>
            <w:r>
              <w:t xml:space="preserve">0.02875</w:t>
            </w:r>
          </w:p>
        </w:tc>
        <w:tc>
          <w:tcPr/>
          <w:p>
            <w:pPr>
              <w:pStyle w:val="Compact"/>
              <w:jc w:val="left"/>
            </w:pPr>
            <w:r>
              <w:t xml:space="preserve">kg</w:t>
            </w:r>
          </w:p>
        </w:tc>
        <w:tc>
          <w:tcPr/>
          <w:p>
            <w:pPr>
              <w:pStyle w:val="Compact"/>
              <w:jc w:val="left"/>
            </w:pPr>
            <w:r>
              <w:t xml:space="preserve">(0.115 kg total mass * 25% non-recycled)</w:t>
            </w:r>
          </w:p>
        </w:tc>
      </w:tr>
      <w:tr>
        <w:tc>
          <w:tcPr/>
          <w:p>
            <w:pPr>
              <w:pStyle w:val="Compact"/>
              <w:jc w:val="left"/>
            </w:pPr>
            <w:r>
              <w:t xml:space="preserve">EoL Emission Factor (non-recycled electronics)</w:t>
            </w:r>
          </w:p>
        </w:tc>
        <w:tc>
          <w:tcPr/>
          <w:p>
            <w:pPr>
              <w:pStyle w:val="Compact"/>
              <w:jc w:val="left"/>
            </w:pPr>
            <w:r>
              <w:t xml:space="preserve">2.0</w:t>
            </w:r>
          </w:p>
        </w:tc>
        <w:tc>
          <w:tcPr/>
          <w:p>
            <w:pPr>
              <w:pStyle w:val="Compact"/>
              <w:jc w:val="left"/>
            </w:pPr>
            <w:r>
              <w:t xml:space="preserve">kg CO2e/kg</w:t>
            </w:r>
          </w:p>
        </w:tc>
        <w:tc>
          <w:tcPr/>
          <w:p>
            <w:pPr>
              <w:pStyle w:val="Compact"/>
              <w:jc w:val="left"/>
            </w:pPr>
            <w:r>
              <w:t xml:space="preserve">Illustrative, for incineration/landfill of mixed electronics</w:t>
            </w:r>
          </w:p>
        </w:tc>
      </w:tr>
    </w:tbl>
    <w:p>
      <w:r>
        <w:pict>
          <v:rect style="width:0;height:1.5pt" o:hralign="center" o:hrstd="t" o:hr="t"/>
        </w:pict>
      </w:r>
    </w:p>
    <w:bookmarkEnd w:id="28"/>
    <w:bookmarkEnd w:id="29"/>
    <w:bookmarkStart w:id="41" w:name="calculating-emissions"/>
    <w:p>
      <w:pPr>
        <w:pStyle w:val="Heading2"/>
      </w:pPr>
      <w:r>
        <w:t xml:space="preserve">4. Calculating Emissions</w:t>
      </w:r>
    </w:p>
    <w:p>
      <w:pPr>
        <w:pStyle w:val="FirstParagraph"/>
      </w:pPr>
      <w:r>
        <w:t xml:space="preserve">Based on the collected data and selected emission factors, the GHG emissions for each lifecycle stage are calculated. All emissions are expressed in kilograms of carbon dioxide equivalent (kg CO2e).</w:t>
      </w:r>
    </w:p>
    <w:bookmarkStart w:id="32" w:name="scope-3-upstream-emissions"/>
    <w:p>
      <w:pPr>
        <w:pStyle w:val="Heading3"/>
      </w:pPr>
      <w:r>
        <w:t xml:space="preserve">4.1. Scope 3: Upstream Emissions</w:t>
      </w:r>
    </w:p>
    <w:bookmarkStart w:id="30" w:name="material-acquisition-manufacturing"/>
    <w:p>
      <w:pPr>
        <w:pStyle w:val="Heading4"/>
      </w:pPr>
      <w:r>
        <w:t xml:space="preserve">Material Acquisition &amp; Manufacturing:</w:t>
      </w:r>
    </w:p>
    <w:p>
      <w:pPr>
        <w:numPr>
          <w:ilvl w:val="0"/>
          <w:numId w:val="1004"/>
        </w:numPr>
        <w:pStyle w:val="Compact"/>
      </w:pPr>
      <w:r>
        <w:t xml:space="preserve">Total Material Carbon:</w:t>
      </w:r>
      <w:r>
        <w:t xml:space="preserve"> </w:t>
      </w:r>
      <w:r>
        <w:rPr>
          <w:bCs/>
          <w:b/>
        </w:rPr>
        <w:t xml:space="preserve">1.8605 kg CO2e</w:t>
      </w:r>
    </w:p>
    <w:bookmarkEnd w:id="30"/>
    <w:bookmarkStart w:id="31" w:name="upstream-transportation"/>
    <w:p>
      <w:pPr>
        <w:pStyle w:val="Heading4"/>
      </w:pPr>
      <w:r>
        <w:t xml:space="preserve">Upstream Transportation:</w:t>
      </w:r>
    </w:p>
    <w:p>
      <w:pPr>
        <w:numPr>
          <w:ilvl w:val="0"/>
          <w:numId w:val="1005"/>
        </w:numPr>
        <w:pStyle w:val="Compact"/>
      </w:pPr>
      <w:r>
        <w:t xml:space="preserve">Ocean Freight (Materials Inbound): 0.00015 tonnes * 15,000 km * 16 g CO2e/tkm = 36 g CO2e = 0.0360 kg CO2e</w:t>
      </w:r>
    </w:p>
    <w:p>
      <w:pPr>
        <w:numPr>
          <w:ilvl w:val="0"/>
          <w:numId w:val="1005"/>
        </w:numPr>
        <w:pStyle w:val="Compact"/>
      </w:pPr>
      <w:r>
        <w:t xml:space="preserve">Road Transport (Regional, China): 0.00015 tonnes * 500 km * 70 g CO2e/tkm = 5.25 g CO2e = 0.00525 kg CO2e</w:t>
      </w:r>
    </w:p>
    <w:p>
      <w:pPr>
        <w:numPr>
          <w:ilvl w:val="0"/>
          <w:numId w:val="1005"/>
        </w:numPr>
        <w:pStyle w:val="Compact"/>
      </w:pPr>
      <w:r>
        <w:t xml:space="preserve">Sub-Total Upstream Transport:</w:t>
      </w:r>
      <w:r>
        <w:t xml:space="preserve"> </w:t>
      </w:r>
      <w:r>
        <w:rPr>
          <w:bCs/>
          <w:b/>
        </w:rPr>
        <w:t xml:space="preserve">0.04125 kg CO2e</w:t>
      </w:r>
    </w:p>
    <w:bookmarkEnd w:id="31"/>
    <w:bookmarkEnd w:id="32"/>
    <w:bookmarkStart w:id="34" w:name="scope-2-purchased-electricity-emissions"/>
    <w:p>
      <w:pPr>
        <w:pStyle w:val="Heading3"/>
      </w:pPr>
      <w:r>
        <w:t xml:space="preserve">4.2. Scope 2: Purchased Electricity Emissions</w:t>
      </w:r>
    </w:p>
    <w:bookmarkStart w:id="33" w:name="production-energy"/>
    <w:p>
      <w:pPr>
        <w:pStyle w:val="Heading4"/>
      </w:pPr>
      <w:r>
        <w:t xml:space="preserve">Production Energy:</w:t>
      </w:r>
    </w:p>
    <w:p>
      <w:pPr>
        <w:numPr>
          <w:ilvl w:val="0"/>
          <w:numId w:val="1006"/>
        </w:numPr>
        <w:pStyle w:val="Compact"/>
      </w:pPr>
      <w:r>
        <w:t xml:space="preserve">Total Energy Needed: 20 kWh/unit</w:t>
      </w:r>
    </w:p>
    <w:p>
      <w:pPr>
        <w:numPr>
          <w:ilvl w:val="0"/>
          <w:numId w:val="1006"/>
        </w:numPr>
        <w:pStyle w:val="Compact"/>
      </w:pPr>
      <w:r>
        <w:t xml:space="preserve">Renewable Energy Used: 60%</w:t>
      </w:r>
    </w:p>
    <w:p>
      <w:pPr>
        <w:numPr>
          <w:ilvl w:val="0"/>
          <w:numId w:val="1006"/>
        </w:numPr>
        <w:pStyle w:val="Compact"/>
      </w:pPr>
      <w:r>
        <w:t xml:space="preserve">Grid Electricity Consumed: 20 kWh * (1 - 0.60) = 8 kWh</w:t>
      </w:r>
    </w:p>
    <w:p>
      <w:pPr>
        <w:numPr>
          <w:ilvl w:val="0"/>
          <w:numId w:val="1006"/>
        </w:numPr>
        <w:pStyle w:val="Compact"/>
      </w:pPr>
      <w:r>
        <w:t xml:space="preserve">Emissions from Grid Electricity: 8 kWh * 0.6 kg CO2e/kWh =</w:t>
      </w:r>
      <w:r>
        <w:t xml:space="preserve"> </w:t>
      </w:r>
      <w:r>
        <w:rPr>
          <w:bCs/>
          <w:b/>
        </w:rPr>
        <w:t xml:space="preserve">4.80 kg CO2e</w:t>
      </w:r>
    </w:p>
    <w:bookmarkEnd w:id="33"/>
    <w:bookmarkEnd w:id="34"/>
    <w:bookmarkStart w:id="38" w:name="scope-3-downstream-emissions"/>
    <w:p>
      <w:pPr>
        <w:pStyle w:val="Heading3"/>
      </w:pPr>
      <w:r>
        <w:t xml:space="preserve">4.3. Scope 3: Downstream Emissions</w:t>
      </w:r>
    </w:p>
    <w:bookmarkStart w:id="35" w:name="downstream-transportation"/>
    <w:p>
      <w:pPr>
        <w:pStyle w:val="Heading4"/>
      </w:pPr>
      <w:r>
        <w:t xml:space="preserve">Downstream Transportation:</w:t>
      </w:r>
    </w:p>
    <w:p>
      <w:pPr>
        <w:numPr>
          <w:ilvl w:val="0"/>
          <w:numId w:val="1007"/>
        </w:numPr>
        <w:pStyle w:val="Compact"/>
      </w:pPr>
      <w:r>
        <w:t xml:space="preserve">Ocean Freight (Product Outbound): 0.00015 tonnes * 15,000 km * 16 g CO2e/tkm = 36 g CO2e = 0.0360 kg CO2e</w:t>
      </w:r>
    </w:p>
    <w:p>
      <w:pPr>
        <w:numPr>
          <w:ilvl w:val="0"/>
          <w:numId w:val="1007"/>
        </w:numPr>
        <w:pStyle w:val="Compact"/>
      </w:pPr>
      <w:r>
        <w:t xml:space="preserve">Road Transport (Regional, Europe): 0.00015 tonnes * 500 km * 70 g CO2e/tkm = 5.25 g CO2e = 0.00525 kg CO2e</w:t>
      </w:r>
    </w:p>
    <w:p>
      <w:pPr>
        <w:numPr>
          <w:ilvl w:val="0"/>
          <w:numId w:val="1007"/>
        </w:numPr>
        <w:pStyle w:val="Compact"/>
      </w:pPr>
      <w:r>
        <w:t xml:space="preserve">Last-Mile Delivery: 0.00015 tonnes * 50 km * 150 g CO2e/tkm = 1.125 g CO2e = 0.001125 kg CO2e</w:t>
      </w:r>
    </w:p>
    <w:p>
      <w:pPr>
        <w:numPr>
          <w:ilvl w:val="0"/>
          <w:numId w:val="1007"/>
        </w:numPr>
        <w:pStyle w:val="Compact"/>
      </w:pPr>
      <w:r>
        <w:t xml:space="preserve">Sub-Total Downstream Transport:</w:t>
      </w:r>
      <w:r>
        <w:t xml:space="preserve"> </w:t>
      </w:r>
      <w:r>
        <w:rPr>
          <w:bCs/>
          <w:b/>
        </w:rPr>
        <w:t xml:space="preserve">0.042375 kg CO2e</w:t>
      </w:r>
    </w:p>
    <w:bookmarkEnd w:id="35"/>
    <w:bookmarkStart w:id="36" w:name="use-phase-emissions"/>
    <w:p>
      <w:pPr>
        <w:pStyle w:val="Heading4"/>
      </w:pPr>
      <w:r>
        <w:t xml:space="preserve">Use Phase Emissions:</w:t>
      </w:r>
    </w:p>
    <w:p>
      <w:pPr>
        <w:numPr>
          <w:ilvl w:val="0"/>
          <w:numId w:val="1008"/>
        </w:numPr>
        <w:pStyle w:val="Compact"/>
      </w:pPr>
      <w:r>
        <w:t xml:space="preserve">Total Energy Consumption over Lifespan: 15 kWh/year * 5 years = 75 kWh</w:t>
      </w:r>
    </w:p>
    <w:p>
      <w:pPr>
        <w:numPr>
          <w:ilvl w:val="0"/>
          <w:numId w:val="1008"/>
        </w:numPr>
        <w:pStyle w:val="Compact"/>
      </w:pPr>
      <w:r>
        <w:t xml:space="preserve">Emissions from Use Phase: 75 kWh * 0.25 kg CO2e/kWh (EU average) =</w:t>
      </w:r>
      <w:r>
        <w:t xml:space="preserve"> </w:t>
      </w:r>
      <w:r>
        <w:rPr>
          <w:bCs/>
          <w:b/>
        </w:rPr>
        <w:t xml:space="preserve">18.75 kg CO2e</w:t>
      </w:r>
    </w:p>
    <w:bookmarkEnd w:id="36"/>
    <w:bookmarkStart w:id="37" w:name="end-of-life-emissions"/>
    <w:p>
      <w:pPr>
        <w:pStyle w:val="Heading4"/>
      </w:pPr>
      <w:r>
        <w:t xml:space="preserve">End-of-Life Emissions:</w:t>
      </w:r>
    </w:p>
    <w:p>
      <w:pPr>
        <w:numPr>
          <w:ilvl w:val="0"/>
          <w:numId w:val="1009"/>
        </w:numPr>
        <w:pStyle w:val="Compact"/>
      </w:pPr>
      <w:r>
        <w:t xml:space="preserve">Mass of Product to EoL (non-recycled): 0.115 kg * 0.25 = 0.02875 kg</w:t>
      </w:r>
    </w:p>
    <w:p>
      <w:pPr>
        <w:numPr>
          <w:ilvl w:val="0"/>
          <w:numId w:val="1009"/>
        </w:numPr>
        <w:pStyle w:val="Compact"/>
      </w:pPr>
      <w:r>
        <w:t xml:space="preserve">Emissions from EoL: 0.02875 kg * 2.0 kg CO2e/kg =</w:t>
      </w:r>
      <w:r>
        <w:t xml:space="preserve"> </w:t>
      </w:r>
      <w:r>
        <w:rPr>
          <w:bCs/>
          <w:b/>
        </w:rPr>
        <w:t xml:space="preserve">0.0575 kg CO2e</w:t>
      </w:r>
    </w:p>
    <w:bookmarkEnd w:id="37"/>
    <w:bookmarkEnd w:id="38"/>
    <w:bookmarkStart w:id="39" w:name="total-product-carbon-footprint-summary"/>
    <w:p>
      <w:pPr>
        <w:pStyle w:val="Heading3"/>
      </w:pPr>
      <w:r>
        <w:t xml:space="preserve">4.4. Total Product Carbon Footprint Summary</w:t>
      </w:r>
    </w:p>
    <w:bookmarkEnd w:id="39"/>
    <w:bookmarkStart w:id="40" w:name="overall-pcf-for-1.0-unit-of-vvorfzpwtz"/>
    <w:p>
      <w:pPr>
        <w:pStyle w:val="Heading3"/>
      </w:pPr>
      <w:r>
        <w:t xml:space="preserve">Overall PCF for 1.0 unit of vvorfzpwtz</w:t>
      </w:r>
    </w:p>
    <w:p>
      <w:pPr>
        <w:numPr>
          <w:ilvl w:val="0"/>
          <w:numId w:val="1010"/>
        </w:numPr>
        <w:pStyle w:val="Compact"/>
      </w:pPr>
      <w:r>
        <w:rPr>
          <w:bCs/>
          <w:b/>
        </w:rPr>
        <w:t xml:space="preserve">Total Upstream Emissions (Scope 3):</w:t>
      </w:r>
      <w:r>
        <w:t xml:space="preserve"> </w:t>
      </w:r>
      <w:r>
        <w:t xml:space="preserve">1.8605 (Materials) + 0.04125 (Upstream Transport) =</w:t>
      </w:r>
      <w:r>
        <w:t xml:space="preserve"> </w:t>
      </w:r>
      <w:r>
        <w:rPr>
          <w:bCs/>
          <w:b/>
        </w:rPr>
        <w:t xml:space="preserve">1.90175 kg CO2e</w:t>
      </w:r>
    </w:p>
    <w:p>
      <w:pPr>
        <w:numPr>
          <w:ilvl w:val="0"/>
          <w:numId w:val="1010"/>
        </w:numPr>
        <w:pStyle w:val="Compact"/>
      </w:pPr>
      <w:r>
        <w:rPr>
          <w:bCs/>
          <w:b/>
        </w:rPr>
        <w:t xml:space="preserve">Total Purchased Electricity Emissions (Scope 2):</w:t>
      </w:r>
      <w:r>
        <w:t xml:space="preserve"> </w:t>
      </w:r>
      <w:r>
        <w:rPr>
          <w:bCs/>
          <w:b/>
        </w:rPr>
        <w:t xml:space="preserve">4.80 kg CO2e</w:t>
      </w:r>
    </w:p>
    <w:p>
      <w:pPr>
        <w:numPr>
          <w:ilvl w:val="0"/>
          <w:numId w:val="1010"/>
        </w:numPr>
        <w:pStyle w:val="Compact"/>
      </w:pPr>
      <w:r>
        <w:rPr>
          <w:bCs/>
          <w:b/>
        </w:rPr>
        <w:t xml:space="preserve">Total Downstream Emissions (Scope 3):</w:t>
      </w:r>
      <w:r>
        <w:t xml:space="preserve"> </w:t>
      </w:r>
      <w:r>
        <w:t xml:space="preserve">0.042375 (Downstream Transport) + 18.75 (Use Phase) + 0.0575 (End-of-Life) =</w:t>
      </w:r>
      <w:r>
        <w:t xml:space="preserve"> </w:t>
      </w:r>
      <w:r>
        <w:rPr>
          <w:bCs/>
          <w:b/>
        </w:rPr>
        <w:t xml:space="preserve">18.849875 kg CO2e</w:t>
      </w:r>
    </w:p>
    <w:p>
      <w:pPr>
        <w:numPr>
          <w:ilvl w:val="0"/>
          <w:numId w:val="1010"/>
        </w:numPr>
        <w:pStyle w:val="Compact"/>
      </w:pPr>
      <w:r>
        <w:rPr>
          <w:bCs/>
          <w:b/>
        </w:rPr>
        <w:t xml:space="preserve">Grand Total Product Carbon Footprint:</w:t>
      </w:r>
      <w:r>
        <w:t xml:space="preserve"> </w:t>
      </w:r>
      <w:r>
        <w:t xml:space="preserve">1.90175 + 4.80 + 18.849875 =</w:t>
      </w:r>
      <w:r>
        <w:t xml:space="preserve"> </w:t>
      </w:r>
      <w:r>
        <w:rPr>
          <w:bCs/>
          <w:b/>
        </w:rPr>
        <w:t xml:space="preserve">25.551625 kg CO2e</w:t>
      </w:r>
    </w:p>
    <w:p>
      <w:pPr>
        <w:pStyle w:val="FirstParagraph"/>
      </w:pPr>
      <w:r>
        <w:t xml:space="preserve">The total estimated Product Carbon Footprint for one unit of</w:t>
      </w:r>
      <w:r>
        <w:t xml:space="preserve"> </w:t>
      </w:r>
      <w:r>
        <w:rPr>
          <w:bCs/>
          <w:b/>
        </w:rPr>
        <w:t xml:space="preserve">vvorfzpwtz</w:t>
      </w:r>
      <w:r>
        <w:t xml:space="preserve"> </w:t>
      </w:r>
      <w:r>
        <w:t xml:space="preserve">is approximately</w:t>
      </w:r>
      <w:r>
        <w:t xml:space="preserve"> </w:t>
      </w:r>
      <w:r>
        <w:rPr>
          <w:bCs/>
          <w:b/>
        </w:rPr>
        <w:t xml:space="preserve">25.55 kg CO2e</w:t>
      </w:r>
      <w:r>
        <w:t xml:space="preserve">.</w:t>
      </w:r>
    </w:p>
    <w:bookmarkEnd w:id="40"/>
    <w:p>
      <w:r>
        <w:pict>
          <v:rect style="width:0;height:1.5pt" o:hralign="center" o:hrstd="t" o:hr="t"/>
        </w:pict>
      </w:r>
    </w:p>
    <w:bookmarkEnd w:id="41"/>
    <w:bookmarkStart w:id="45" w:name="review-report"/>
    <w:p>
      <w:pPr>
        <w:pStyle w:val="Heading2"/>
      </w:pPr>
      <w:r>
        <w:t xml:space="preserve">5. Review &amp; Report</w:t>
      </w:r>
    </w:p>
    <w:bookmarkStart w:id="42" w:name="identification-of-hotspots"/>
    <w:p>
      <w:pPr>
        <w:pStyle w:val="Heading3"/>
      </w:pPr>
      <w:r>
        <w:t xml:space="preserve">5.1. Identification of Hotspots</w:t>
      </w:r>
    </w:p>
    <w:p>
      <w:pPr>
        <w:pStyle w:val="FirstParagraph"/>
      </w:pPr>
      <w:r>
        <w:t xml:space="preserve">The PCF analysis reveals the following key emission hotspots across the lifecycle of</w:t>
      </w:r>
      <w:r>
        <w:t xml:space="preserve"> </w:t>
      </w:r>
      <w:r>
        <w:rPr>
          <w:bCs/>
          <w:b/>
        </w:rPr>
        <w:t xml:space="preserve">vvorfzpwtz</w:t>
      </w:r>
      <w:r>
        <w:t xml:space="preserve">:</w:t>
      </w:r>
    </w:p>
    <w:p>
      <w:pPr>
        <w:numPr>
          <w:ilvl w:val="0"/>
          <w:numId w:val="1011"/>
        </w:numPr>
        <w:pStyle w:val="Compact"/>
      </w:pPr>
      <w:r>
        <w:rPr>
          <w:bCs/>
          <w:b/>
        </w:rPr>
        <w:t xml:space="preserve">Use Phase (Approx. 73.4% of total PCF):</w:t>
      </w:r>
      <w:r>
        <w:t xml:space="preserve"> </w:t>
      </w:r>
      <w:r>
        <w:t xml:space="preserve">This phase, primarily driven by electricity consumption over the product\'s 5-year lifespan, represents the most significant contributor to the overall carbon footprint (18.75 kg CO2e). The carbon intensity of the electricity grid where the product is used plays a critical role.</w:t>
      </w:r>
    </w:p>
    <w:p>
      <w:pPr>
        <w:numPr>
          <w:ilvl w:val="0"/>
          <w:numId w:val="1011"/>
        </w:numPr>
        <w:pStyle w:val="Compact"/>
      </w:pPr>
      <w:r>
        <w:rPr>
          <w:bCs/>
          <w:b/>
        </w:rPr>
        <w:t xml:space="preserve">Material Acquisition &amp; Manufacturing (Approx. 7.3% of total PCF):</w:t>
      </w:r>
      <w:r>
        <w:t xml:space="preserve"> </w:t>
      </w:r>
      <w:r>
        <w:t xml:space="preserve">The raw materials, particularly the Printed Circuit Board (PCB) and the Li-ion battery, contribute substantially (1.86 kg CO2e) due to their complex manufacturing processes and reliance on energy-intensive primary material production.</w:t>
      </w:r>
    </w:p>
    <w:p>
      <w:pPr>
        <w:numPr>
          <w:ilvl w:val="0"/>
          <w:numId w:val="1011"/>
        </w:numPr>
        <w:pStyle w:val="Compact"/>
      </w:pPr>
      <w:r>
        <w:rPr>
          <w:bCs/>
          <w:b/>
        </w:rPr>
        <w:t xml:space="preserve">Production Energy (Approx. 18.8% of total PCF):</w:t>
      </w:r>
      <w:r>
        <w:t xml:space="preserve"> </w:t>
      </w:r>
      <w:r>
        <w:t xml:space="preserve">Despite 60% renewable energy usage, the remaining grid electricity for manufacturing in China (4.80 kg CO2e) is a notable hotspot, reflecting the carbon intensity of the regional grid mix.</w:t>
      </w:r>
    </w:p>
    <w:p>
      <w:pPr>
        <w:numPr>
          <w:ilvl w:val="0"/>
          <w:numId w:val="1011"/>
        </w:numPr>
        <w:pStyle w:val="Compact"/>
      </w:pPr>
      <w:r>
        <w:rPr>
          <w:bCs/>
          <w:b/>
        </w:rPr>
        <w:t xml:space="preserve">Transportation and End-of-Life (Combined, Approx. 0.7% of total PCF):</w:t>
      </w:r>
      <w:r>
        <w:t xml:space="preserve"> </w:t>
      </w:r>
      <w:r>
        <w:t xml:space="preserve">While essential, the emissions from transportation (0.08 kg CO2e) and end-of-life treatment (0.06 kg CO2e) are relatively minor compared to the use phase and material/production impacts for this specific product.</w:t>
      </w:r>
    </w:p>
    <w:bookmarkEnd w:id="42"/>
    <w:bookmarkStart w:id="43" w:name="reliability-statement"/>
    <w:p>
      <w:pPr>
        <w:pStyle w:val="Heading3"/>
      </w:pPr>
      <w:r>
        <w:t xml:space="preserve">5.2. Reliability Statement</w:t>
      </w:r>
    </w:p>
    <w:p>
      <w:pPr>
        <w:pStyle w:val="FirstParagraph"/>
      </w:pPr>
      <w:r>
        <w:t xml:space="preserve">This report has been prepared by</w:t>
      </w:r>
      <w:r>
        <w:t xml:space="preserve"> </w:t>
      </w:r>
      <w:r>
        <w:rPr>
          <w:bCs/>
          <w:b/>
        </w:rPr>
        <w:t xml:space="preserve">peneqiyqxq</w:t>
      </w:r>
      <w:r>
        <w:t xml:space="preserve">, Senior Sustainability Consultant, using the GHG Protocol as the primary accounting standard. The methodology incorporates detailed data points, including a Bill of Materials, specific transportation logistics, and energy consumption parameters. Illustrative emission factors were selected from recognized industry sources (e.g., Ecoinvent, DEFRA, country-specific grid mixes) where primary data was not directly provided, ensuring a robust and consistent approach.</w:t>
      </w:r>
    </w:p>
    <w:p>
      <w:pPr>
        <w:pStyle w:val="BodyText"/>
      </w:pPr>
      <w:r>
        <w:t xml:space="preserve">The reliability of this assessment is directly tied to the accuracy and completeness of the input data. The explicit use of provided parameters and generation of plausible values for placeholders aim to reflect a high-detail analysis. Future updates should prioritize collecting primary data for all material and energy inputs from direct suppliers to further enhance accuracy and meet the evolving data quality requirements of the GHG Protocol.</w:t>
      </w:r>
    </w:p>
    <w:p>
      <w:pPr>
        <w:pStyle w:val="BodyText"/>
      </w:pPr>
      <w:r>
        <w:t xml:space="preserve">The 95% Scope 3 coverage target, as proposed in the 2026 GHG Protocol updates, has been a guiding principle in striving for comprehensive inclusion of value chain emissions. This report covers all major emission categories relevant to</w:t>
      </w:r>
      <w:r>
        <w:t xml:space="preserve"> </w:t>
      </w:r>
      <w:r>
        <w:rPr>
          <w:bCs/>
          <w:b/>
        </w:rPr>
        <w:t xml:space="preserve">vvorfzpwtz</w:t>
      </w:r>
      <w:r>
        <w:t xml:space="preserve">\'s lifecycle, providing a strong foundation for future, more granular reporting.</w:t>
      </w:r>
    </w:p>
    <w:bookmarkEnd w:id="43"/>
    <w:bookmarkStart w:id="44" w:name="recommendations-for-reduction"/>
    <w:p>
      <w:pPr>
        <w:pStyle w:val="Heading3"/>
      </w:pPr>
      <w:r>
        <w:t xml:space="preserve">5.3. Recommendations for Reduction</w:t>
      </w:r>
    </w:p>
    <w:p>
      <w:pPr>
        <w:pStyle w:val="FirstParagraph"/>
      </w:pPr>
      <w:r>
        <w:t xml:space="preserve">Based on the identified hotspots,</w:t>
      </w:r>
      <w:r>
        <w:t xml:space="preserve"> </w:t>
      </w:r>
      <w:r>
        <w:rPr>
          <w:bCs/>
          <w:b/>
        </w:rPr>
        <w:t xml:space="preserve">djiqiyrljx</w:t>
      </w:r>
      <w:r>
        <w:t xml:space="preserve"> </w:t>
      </w:r>
      <w:r>
        <w:t xml:space="preserve">can focus on the following strategies to reduce the PCF of</w:t>
      </w:r>
      <w:r>
        <w:t xml:space="preserve"> </w:t>
      </w:r>
      <w:r>
        <w:rPr>
          <w:bCs/>
          <w:b/>
        </w:rPr>
        <w:t xml:space="preserve">vvorfzpwtz</w:t>
      </w:r>
      <w:r>
        <w:t xml:space="preserve">:</w:t>
      </w:r>
    </w:p>
    <w:p>
      <w:pPr>
        <w:numPr>
          <w:ilvl w:val="0"/>
          <w:numId w:val="1012"/>
        </w:numPr>
        <w:pStyle w:val="Compact"/>
      </w:pPr>
      <w:r>
        <w:rPr>
          <w:bCs/>
          <w:b/>
        </w:rPr>
        <w:t xml:space="preserve">Optimize Use Phase:</w:t>
      </w:r>
    </w:p>
    <w:p>
      <w:pPr>
        <w:numPr>
          <w:ilvl w:val="1"/>
          <w:numId w:val="1013"/>
        </w:numPr>
        <w:pStyle w:val="Compact"/>
      </w:pPr>
      <w:r>
        <w:rPr>
          <w:bCs/>
          <w:b/>
        </w:rPr>
        <w:t xml:space="preserve">Energy Efficiency:</w:t>
      </w:r>
      <w:r>
        <w:t xml:space="preserve"> </w:t>
      </w:r>
      <w:r>
        <w:t xml:space="preserve">Further improve the energy efficiency of</w:t>
      </w:r>
      <w:r>
        <w:t xml:space="preserve"> </w:t>
      </w:r>
      <w:r>
        <w:rPr>
          <w:bCs/>
          <w:b/>
        </w:rPr>
        <w:t xml:space="preserve">vvorfzpwtz</w:t>
      </w:r>
      <w:r>
        <w:t xml:space="preserve"> </w:t>
      </w:r>
      <w:r>
        <w:t xml:space="preserve">to reduce electricity consumption during its lifespan.</w:t>
      </w:r>
    </w:p>
    <w:p>
      <w:pPr>
        <w:numPr>
          <w:ilvl w:val="1"/>
          <w:numId w:val="1013"/>
        </w:numPr>
        <w:pStyle w:val="Compact"/>
      </w:pPr>
      <w:r>
        <w:rPr>
          <w:bCs/>
          <w:b/>
        </w:rPr>
        <w:t xml:space="preserve">Renewable Energy Advocacy:</w:t>
      </w:r>
      <w:r>
        <w:t xml:space="preserve"> </w:t>
      </w:r>
      <w:r>
        <w:t xml:space="preserve">Promote and support the use of renewable energy sources in regions where the product is primarily used. Engage with energy providers or offer incentives for customers to use green energy tariffs.</w:t>
      </w:r>
    </w:p>
    <w:p>
      <w:pPr>
        <w:numPr>
          <w:ilvl w:val="0"/>
          <w:numId w:val="1012"/>
        </w:numPr>
        <w:pStyle w:val="Compact"/>
      </w:pPr>
      <w:r>
        <w:rPr>
          <w:bCs/>
          <w:b/>
        </w:rPr>
        <w:t xml:space="preserve">Sustainable Material Sourcing:</w:t>
      </w:r>
    </w:p>
    <w:p>
      <w:pPr>
        <w:numPr>
          <w:ilvl w:val="1"/>
          <w:numId w:val="1014"/>
        </w:numPr>
        <w:pStyle w:val="Compact"/>
      </w:pPr>
      <w:r>
        <w:rPr>
          <w:bCs/>
          <w:b/>
        </w:rPr>
        <w:t xml:space="preserve">Low-Carbon Materials:</w:t>
      </w:r>
      <w:r>
        <w:t xml:space="preserve"> </w:t>
      </w:r>
      <w:r>
        <w:t xml:space="preserve">Investigate and switch to lower-carbon alternatives for high-impact components like PCBs, Li-ion batteries, and aluminum. This includes exploring recycled content for metals and plastics.</w:t>
      </w:r>
    </w:p>
    <w:p>
      <w:pPr>
        <w:numPr>
          <w:ilvl w:val="1"/>
          <w:numId w:val="1014"/>
        </w:numPr>
        <w:pStyle w:val="Compact"/>
      </w:pPr>
      <w:r>
        <w:rPr>
          <w:bCs/>
          <w:b/>
        </w:rPr>
        <w:t xml:space="preserve">Supplier Engagement:</w:t>
      </w:r>
      <w:r>
        <w:t xml:space="preserve"> </w:t>
      </w:r>
      <w:r>
        <w:t xml:space="preserve">Work closely with suppliers (especially for electronics and batteries) to encourage them to reduce their manufacturing emissions, improve energy efficiency, and transition to renewable energy sources in their own operations.</w:t>
      </w:r>
    </w:p>
    <w:p>
      <w:pPr>
        <w:numPr>
          <w:ilvl w:val="0"/>
          <w:numId w:val="1012"/>
        </w:numPr>
        <w:pStyle w:val="Compact"/>
      </w:pPr>
      <w:r>
        <w:rPr>
          <w:bCs/>
          <w:b/>
        </w:rPr>
        <w:t xml:space="preserve">Green Manufacturing:</w:t>
      </w:r>
    </w:p>
    <w:p>
      <w:pPr>
        <w:numPr>
          <w:ilvl w:val="1"/>
          <w:numId w:val="1015"/>
        </w:numPr>
        <w:pStyle w:val="Compact"/>
      </w:pPr>
      <w:r>
        <w:rPr>
          <w:bCs/>
          <w:b/>
        </w:rPr>
        <w:t xml:space="preserve">Increase Renewable Energy Share:</w:t>
      </w:r>
      <w:r>
        <w:t xml:space="preserve"> </w:t>
      </w:r>
      <w:r>
        <w:t xml:space="preserve">Continuously increase the percentage of renewable energy used in the production facilities in China beyond the current 60%.</w:t>
      </w:r>
    </w:p>
    <w:p>
      <w:pPr>
        <w:numPr>
          <w:ilvl w:val="1"/>
          <w:numId w:val="1015"/>
        </w:numPr>
        <w:pStyle w:val="Compact"/>
      </w:pPr>
      <w:r>
        <w:rPr>
          <w:bCs/>
          <w:b/>
        </w:rPr>
        <w:t xml:space="preserve">Process Optimization:</w:t>
      </w:r>
      <w:r>
        <w:t xml:space="preserve"> </w:t>
      </w:r>
      <w:r>
        <w:t xml:space="preserve">Implement energy-efficient manufacturing processes to reduce the overall energy intensity (kWh/unit) of production.</w:t>
      </w:r>
    </w:p>
    <w:p>
      <w:pPr>
        <w:numPr>
          <w:ilvl w:val="0"/>
          <w:numId w:val="1012"/>
        </w:numPr>
        <w:pStyle w:val="Compact"/>
      </w:pPr>
      <w:r>
        <w:rPr>
          <w:bCs/>
          <w:b/>
        </w:rPr>
        <w:t xml:space="preserve">Enhance Circularity:</w:t>
      </w:r>
    </w:p>
    <w:p>
      <w:pPr>
        <w:numPr>
          <w:ilvl w:val="1"/>
          <w:numId w:val="1016"/>
        </w:numPr>
        <w:pStyle w:val="Compact"/>
      </w:pPr>
      <w:r>
        <w:rPr>
          <w:bCs/>
          <w:b/>
        </w:rPr>
        <w:t xml:space="preserve">Improve Recyclability:</w:t>
      </w:r>
      <w:r>
        <w:t xml:space="preserve"> </w:t>
      </w:r>
      <w:r>
        <w:t xml:space="preserve">Continuously review product design for enhanced disassemblability and material separability to achieve higher recycling rates.</w:t>
      </w:r>
    </w:p>
    <w:p>
      <w:pPr>
        <w:numPr>
          <w:ilvl w:val="1"/>
          <w:numId w:val="1016"/>
        </w:numPr>
        <w:pStyle w:val="Compact"/>
      </w:pPr>
      <w:r>
        <w:rPr>
          <w:bCs/>
          <w:b/>
        </w:rPr>
        <w:t xml:space="preserve">Expand Take-back Programs:</w:t>
      </w:r>
      <w:r>
        <w:t xml:space="preserve"> </w:t>
      </w:r>
      <w:r>
        <w:t xml:space="preserve">Strengthen and expand existing circular and take-back programs (hpmdkgnojs) to ensure effective collection and processing of products at their end-of-life, maximizing material recovery and minimizing waste to landfill or incineration.</w: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vvorfzpwtz</dc:title>
  <dc:creator/>
  <dc:description>High-detail Product Carbon Footprint (PCF) analysis report for vvorfzpwtz by Senior Sustainability Consultant peneqiyqxq, adhering to GHG Protocol and 2026 updates.</dc:description>
  <dc:language>en</dc:language>
  <cp:keywords/>
  <dcterms:created xsi:type="dcterms:W3CDTF">2026-07-15T05:22:38Z</dcterms:created>
  <dcterms:modified xsi:type="dcterms:W3CDTF">2026-07-15T05:22:38Z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