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vvkldhinff</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vvkldhinff"/>
    <w:p>
      <w:pPr>
        <w:pStyle w:val="Heading2"/>
      </w:pPr>
      <w:r>
        <w:t xml:space="preserve">Product: vvkldhinff</w:t>
      </w:r>
    </w:p>
    <w:p>
      <w:pPr>
        <w:pStyle w:val="FirstParagraph"/>
      </w:pPr>
      <w:r>
        <w:rPr>
          <w:bCs/>
          <w:b/>
        </w:rPr>
        <w:t xml:space="preserve">Company Name:</w:t>
      </w:r>
      <w:r>
        <w:t xml:space="preserve"> </w:t>
      </w:r>
      <w:r>
        <w:t xml:space="preserve">jydvvljsvp</w:t>
      </w:r>
    </w:p>
    <w:p>
      <w:pPr>
        <w:pStyle w:val="BodyText"/>
      </w:pPr>
      <w:r>
        <w:rPr>
          <w:bCs/>
          <w:b/>
        </w:rPr>
        <w:t xml:space="preserve">Senior Sustainability Consultant:</w:t>
      </w:r>
      <w:r>
        <w:t xml:space="preserve"> </w:t>
      </w:r>
      <w:r>
        <w:t xml:space="preserve">yzdygmvkng</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carbon footprint may vary based on specific operational details and data precision.</w:t>
      </w:r>
    </w:p>
    <w:bookmarkEnd w:id="20"/>
    <w:bookmarkEnd w:id="21"/>
    <w:bookmarkStart w:id="39"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18, 2026</w:t>
      </w:r>
    </w:p>
    <w:p>
      <w:pPr>
        <w:pStyle w:val="BodyText"/>
      </w:pPr>
      <w:r>
        <w:rPr>
          <w:bCs/>
          <w:b/>
        </w:rPr>
        <w:t xml:space="preserve">Senior Sustainability Consultant:</w:t>
      </w:r>
      <w:r>
        <w:t xml:space="preserve"> </w:t>
      </w:r>
      <w:r>
        <w:t xml:space="preserve">yzdygmvkng</w:t>
      </w:r>
    </w:p>
    <w:p>
      <w:pPr>
        <w:pStyle w:val="BodyText"/>
      </w:pPr>
      <w:r>
        <w:rPr>
          <w:bCs/>
          <w:b/>
        </w:rPr>
        <w:t xml:space="preserve">Company Name:</w:t>
      </w:r>
      <w:r>
        <w:t xml:space="preserve"> </w:t>
      </w:r>
      <w:r>
        <w:t xml:space="preserve">jydvvljsvp</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"vvkldhinff," produced by jydvvljsvp. The analysis was conducted by yzdygmvkng, a Senior Sustainability Consultant, strictly adhering to the GHG Protocol and incorporating the 2026 Land Sector and Removals (LSR) Standard. The functional unit is defined as 1.0 unit of "vvkldhinff," with a system boundary of \'factory_gate\' for the primary production, and a comprehensive assessment of upstream and downstream Scope 3 emissions. The primary production country is China, with a supply chain focus on Europe. The aim is to identify key emission hotspots across the product\'s lifecycle and provide a robust carbon footprint assessment.</w:t>
      </w:r>
    </w:p>
    <w:p>
      <w:r>
        <w:pict>
          <v:rect style="width:0;height:1.5pt" o:hralign="center" o:hrstd="t" o:hr="t"/>
        </w:pict>
      </w:r>
    </w:p>
    <w:bookmarkEnd w:id="22"/>
    <w:bookmarkStart w:id="30" w:name="methodology-and-scope-definition"/>
    <w:p>
      <w:pPr>
        <w:pStyle w:val="Heading2"/>
      </w:pPr>
      <w:r>
        <w:t xml:space="preserve">1. Methodology and Scope Definition</w:t>
      </w:r>
    </w:p>
    <w:p>
      <w:pPr>
        <w:pStyle w:val="FirstParagraph"/>
      </w:pPr>
      <w:r>
        <w:t xml:space="preserve">The Product Carbon Footprint (PCF) analysis for "vvkldhinff" followed the five-step methodology recommended by the GHG Protocol, ensuring a consistent and comprehensive assessment.</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vvkldhinff. This is the quantified performance of the product system for which the environmental impact will be assessed.</w:t>
      </w:r>
    </w:p>
    <w:p>
      <w:pPr>
        <w:numPr>
          <w:ilvl w:val="0"/>
          <w:numId w:val="1001"/>
        </w:numPr>
        <w:pStyle w:val="Compact"/>
      </w:pPr>
      <w:r>
        <w:rPr>
          <w:bCs/>
          <w:b/>
        </w:rPr>
        <w:t xml:space="preserve">System Boundary:</w:t>
      </w:r>
      <w:r>
        <w:t xml:space="preserve"> </w:t>
      </w:r>
      <w:r>
        <w:t xml:space="preserve">factory_gate. This boundary includes all processes from raw material extraction, through manufacturing, up to the point the product leaves the factory gate. For a comprehensive PCF, significant upstream (Scope 3, Category 1 &amp; 4) and downstream (Scope 3, Category 11 &amp; 12) emissions have also been included to reflect a more complete lifecycle perspective.</w:t>
      </w:r>
    </w:p>
    <w:p>
      <w:pPr>
        <w:numPr>
          <w:ilvl w:val="0"/>
          <w:numId w:val="1001"/>
        </w:numPr>
        <w:pStyle w:val="Compact"/>
      </w:pPr>
      <w:r>
        <w:rPr>
          <w:bCs/>
          <w:b/>
        </w:rPr>
        <w:t xml:space="preserve">Geographic Scope:</w:t>
      </w:r>
      <w:r>
        <w:t xml:space="preserve"> </w:t>
      </w:r>
      <w:r>
        <w:t xml:space="preserve">Final Production Country: China, Supply Chain Focus: Europe Focused. This indicates that primary production occurs in China, while a significant portion of the supply chain, including potential end-use and distribution, is concentrated in Europe.</w:t>
      </w:r>
    </w:p>
    <w:p>
      <w:pPr>
        <w:numPr>
          <w:ilvl w:val="0"/>
          <w:numId w:val="1001"/>
        </w:numPr>
        <w:pStyle w:val="Compact"/>
      </w:pPr>
      <w:r>
        <w:rPr>
          <w:bCs/>
          <w:b/>
        </w:rPr>
        <w:t xml:space="preserve">Accounting Standard:</w:t>
      </w:r>
      <w:r>
        <w:t xml:space="preserve"> </w:t>
      </w:r>
      <w:r>
        <w:t xml:space="preserve">GHG Protocol. This analysis rigorously adheres to the Greenhouse Gas (GHG) Protocol, categorizing emissions into Scope 1 (direct), Scope 2 (purchased energy), and Scope 3 (value chain) for transparent reporting. The 2026 Land Sector and Removals (LSR) Standard is also applied to account for land use and carbon removal impacts, though specific data for direct land use change associated with vvkldhinff components was not provided and thus assumed to be negligible within the defined data. Furthermore, compliance with the 2026 requirements for at least 95% coverage for Scope 3 reporting has been targeted.</w:t>
      </w:r>
    </w:p>
    <w:p>
      <w:pPr>
        <w:numPr>
          <w:ilvl w:val="0"/>
          <w:numId w:val="1001"/>
        </w:numPr>
        <w:pStyle w:val="Compact"/>
      </w:pPr>
      <w:r>
        <w:rPr>
          <w:bCs/>
          <w:b/>
        </w:rPr>
        <w:t xml:space="preserve">Allocation:</w:t>
      </w:r>
      <w:r>
        <w:t xml:space="preserve"> </w:t>
      </w:r>
      <w:r>
        <w:t xml:space="preserve">Where necessary, emissions have been allocated based on mass or economic value, consistent with GHG Protocol guidelines.</w:t>
      </w:r>
    </w:p>
    <w:bookmarkEnd w:id="23"/>
    <w:bookmarkStart w:id="24" w:name="map-lifecycle-lci-inventory-stages"/>
    <w:p>
      <w:pPr>
        <w:pStyle w:val="Heading3"/>
      </w:pPr>
      <w:r>
        <w:t xml:space="preserve">1.2. Map Lifecycle (LCI inventory stages)</w:t>
      </w:r>
    </w:p>
    <w:p>
      <w:pPr>
        <w:pStyle w:val="FirstParagraph"/>
      </w:pPr>
      <w:r>
        <w:t xml:space="preserve">The lifecycle of "vvkldhinff" has been mapped into the following stages for comprehensive inventory data collection:</w:t>
      </w:r>
    </w:p>
    <w:p>
      <w:pPr>
        <w:numPr>
          <w:ilvl w:val="0"/>
          <w:numId w:val="1002"/>
        </w:numPr>
        <w:pStyle w:val="Compact"/>
      </w:pPr>
      <w:r>
        <w:rPr>
          <w:bCs/>
          <w:b/>
        </w:rPr>
        <w:t xml:space="preserve">Raw Material Extraction &amp; Processing:</w:t>
      </w:r>
      <w:r>
        <w:t xml:space="preserve"> </w:t>
      </w:r>
      <w:r>
        <w:t xml:space="preserve">Acquisition and initial processing of all materials listed in the Bill of Materials (BOM).</w:t>
      </w:r>
    </w:p>
    <w:p>
      <w:pPr>
        <w:numPr>
          <w:ilvl w:val="0"/>
          <w:numId w:val="1002"/>
        </w:numPr>
        <w:pStyle w:val="Compact"/>
      </w:pPr>
      <w:r>
        <w:rPr>
          <w:bCs/>
          <w:b/>
        </w:rPr>
        <w:t xml:space="preserve">Manufacturing (Production Phase):</w:t>
      </w:r>
      <w:r>
        <w:t xml:space="preserve"> </w:t>
      </w:r>
      <w:r>
        <w:t xml:space="preserve">All processes involved in transforming raw materials into the final product at the factory gate, including energy consumption.</w:t>
      </w:r>
    </w:p>
    <w:p>
      <w:pPr>
        <w:numPr>
          <w:ilvl w:val="0"/>
          <w:numId w:val="1002"/>
        </w:numPr>
        <w:pStyle w:val="Compact"/>
      </w:pPr>
      <w:r>
        <w:rPr>
          <w:bCs/>
          <w:b/>
        </w:rPr>
        <w:t xml:space="preserve">Transportation &amp; Distribution:</w:t>
      </w:r>
      <w:r>
        <w:t xml:space="preserve"> </w:t>
      </w:r>
      <w:r>
        <w:t xml:space="preserve">Movement of raw materials to the factory, and finished products from the factory to the customer, including last-mile delivery.</w:t>
      </w:r>
    </w:p>
    <w:p>
      <w:pPr>
        <w:numPr>
          <w:ilvl w:val="0"/>
          <w:numId w:val="1002"/>
        </w:numPr>
        <w:pStyle w:val="Compact"/>
      </w:pPr>
      <w:r>
        <w:rPr>
          <w:bCs/>
          <w:b/>
        </w:rPr>
        <w:t xml:space="preserve">Use Phase:</w:t>
      </w:r>
      <w:r>
        <w:t xml:space="preserve"> </w:t>
      </w:r>
      <w:r>
        <w:t xml:space="preserve">Energy consumption and other impacts associated with the product during its lifespan.</w:t>
      </w:r>
    </w:p>
    <w:p>
      <w:pPr>
        <w:numPr>
          <w:ilvl w:val="0"/>
          <w:numId w:val="1002"/>
        </w:numPr>
        <w:pStyle w:val="Compact"/>
      </w:pPr>
      <w:r>
        <w:rPr>
          <w:bCs/>
          <w:b/>
        </w:rPr>
        <w:t xml:space="preserve">End-of-Life (EoL):</w:t>
      </w:r>
      <w:r>
        <w:t xml:space="preserve"> </w:t>
      </w:r>
      <w:r>
        <w:t xml:space="preserve">Disposal, recycling, or recovery processes at the end of the product\'s functional life.</w:t>
      </w:r>
    </w:p>
    <w:bookmarkEnd w:id="24"/>
    <w:bookmarkStart w:id="25" w:name="Xb57f50a89bf1f3f1837369be949d9d60d6c1272"/>
    <w:p>
      <w:pPr>
        <w:pStyle w:val="Heading3"/>
      </w:pPr>
      <w:r>
        <w:t xml:space="preserve">1.3. Collect Data (Primary/Secondary data points)</w:t>
      </w:r>
    </w:p>
    <w:p>
      <w:pPr>
        <w:pStyle w:val="FirstParagraph"/>
      </w:pPr>
      <w:r>
        <w:t xml:space="preserve">Data collection involved both primary and secondary sources. Primary data was directly provided through the detailed Bill of Materials (BOM) and specific operational parameters. Secondary data, such as industry-standard emission factors, were sourced from reputable databases (e.g., Ecoinvent/DEFRA equivalents).</w:t>
      </w:r>
    </w:p>
    <w:p>
      <w:pPr>
        <w:pStyle w:val="BodyText"/>
      </w:pPr>
      <w:r>
        <w:rPr>
          <w:bCs/>
          <w:b/>
        </w:rPr>
        <w:t xml:space="preserve">Detailed Bill of Materials (BOM) - mpmpivxr:</w:t>
      </w:r>
    </w:p>
    <w:p>
      <w:pPr>
        <w:pStyle w:val="BodyText"/>
      </w:pPr>
      <w:r>
        <w:t xml:space="preserve">The following table details the Bill of Materials for vvkldhinff, including pre-calculated total carbon emissions per item, which are directly used for Scope 3, Category 1 calculations.</w:t>
      </w:r>
    </w:p>
    <w:p>
      <w:pPr>
        <w:pStyle w:val="BodyText"/>
      </w:pPr>
      <w:r>
        <w:t xml:space="preserve">ID</w:t>
      </w:r>
    </w:p>
    <w:p>
      <w:pPr>
        <w:pStyle w:val="BodyText"/>
      </w:pPr>
      <w:r>
        <w:t xml:space="preserve">Description</w:t>
      </w:r>
    </w:p>
    <w:p>
      <w:pPr>
        <w:pStyle w:val="BodyText"/>
      </w:pPr>
      <w:r>
        <w:t xml:space="preserve">Category</w:t>
      </w:r>
    </w:p>
    <w:p>
      <w:pPr>
        <w:pStyle w:val="BodyText"/>
      </w:pPr>
      <w:r>
        <w:t xml:space="preserve">Process</w:t>
      </w:r>
    </w:p>
    <w:p>
      <w:pPr>
        <w:pStyle w:val="BodyText"/>
      </w:pPr>
      <w:r>
        <w:t xml:space="preserve">Qty</w:t>
      </w:r>
    </w:p>
    <w:p>
      <w:pPr>
        <w:pStyle w:val="BodyText"/>
      </w:pPr>
      <w:r>
        <w:t xml:space="preserve">Unit</w:t>
      </w:r>
    </w:p>
    <w:p>
      <w:pPr>
        <w:pStyle w:val="BodyText"/>
      </w:pPr>
      <w:r>
        <w:t xml:space="preserve">Emission Factor (kg CO2e/unit)</w:t>
      </w:r>
    </w:p>
    <w:p>
      <w:pPr>
        <w:pStyle w:val="BodyText"/>
      </w:pPr>
      <w:r>
        <w:t xml:space="preserve">Total Carbon (kg CO2e)</w:t>
      </w:r>
    </w:p>
    <w:p>
      <w:pPr>
        <w:pStyle w:val="BodyText"/>
      </w:pPr>
      <w:r>
        <w:rPr>
          <w:iCs/>
          <w:i/>
        </w:rPr>
        <w:t xml:space="preserve">Note: Emission Factors and Total Carbon values for each BOM item were provided directly and used as specified.</w:t>
      </w:r>
    </w:p>
    <w:bookmarkEnd w:id="25"/>
    <w:bookmarkStart w:id="26" w:name="production-phase-energy-data"/>
    <w:p>
      <w:pPr>
        <w:pStyle w:val="Heading3"/>
      </w:pPr>
      <w:r>
        <w:t xml:space="preserve">1.4. Production Phase Energy Data:</w:t>
      </w:r>
    </w:p>
    <w:p>
      <w:pPr>
        <w:numPr>
          <w:ilvl w:val="0"/>
          <w:numId w:val="1003"/>
        </w:numPr>
        <w:pStyle w:val="Compact"/>
      </w:pPr>
      <w:r>
        <w:rPr>
          <w:bCs/>
          <w:b/>
        </w:rPr>
        <w:t xml:space="preserve">Renewable Energy Usage:</w:t>
      </w:r>
      <w:r>
        <w:t xml:space="preserve"> </w:t>
      </w:r>
      <w:r>
        <w:t xml:space="preserve">vqnqmsxzhz (e.g., 50%)</w:t>
      </w:r>
    </w:p>
    <w:p>
      <w:pPr>
        <w:numPr>
          <w:ilvl w:val="0"/>
          <w:numId w:val="1003"/>
        </w:numPr>
        <w:pStyle w:val="Compact"/>
      </w:pPr>
      <w:r>
        <w:rPr>
          <w:bCs/>
          <w:b/>
        </w:rPr>
        <w:t xml:space="preserve">Energy Intensity (kWh/unit):</w:t>
      </w:r>
      <w:r>
        <w:t xml:space="preserve"> </w:t>
      </w:r>
      <w:r>
        <w:t xml:space="preserve">minkwdervo (e.g., 10 kWh/unit)</w:t>
      </w:r>
    </w:p>
    <w:bookmarkEnd w:id="26"/>
    <w:bookmarkStart w:id="27" w:name="logistics-data"/>
    <w:p>
      <w:pPr>
        <w:pStyle w:val="Heading3"/>
      </w:pPr>
      <w:r>
        <w:t xml:space="preserve">1.5. Logistics Data:</w:t>
      </w:r>
    </w:p>
    <w:p>
      <w:pPr>
        <w:numPr>
          <w:ilvl w:val="0"/>
          <w:numId w:val="1004"/>
        </w:numPr>
        <w:pStyle w:val="Compact"/>
      </w:pPr>
      <w:r>
        <w:rPr>
          <w:bCs/>
          <w:b/>
        </w:rPr>
        <w:t xml:space="preserve">Primary Transport Mode:</w:t>
      </w:r>
      <w:r>
        <w:t xml:space="preserve"> </w:t>
      </w:r>
      <w:r>
        <w:t xml:space="preserve">Select Mode (e.g., Ocean Freight)</w:t>
      </w:r>
    </w:p>
    <w:p>
      <w:pPr>
        <w:numPr>
          <w:ilvl w:val="0"/>
          <w:numId w:val="1004"/>
        </w:numPr>
        <w:pStyle w:val="Compact"/>
      </w:pPr>
      <w:r>
        <w:rPr>
          <w:bCs/>
          <w:b/>
        </w:rPr>
        <w:t xml:space="preserve">Primary Transport Distance:</w:t>
      </w:r>
      <w:r>
        <w:t xml:space="preserve"> </w:t>
      </w:r>
      <w:r>
        <w:t xml:space="preserve">roudsxeqen (e.g., 15000 km)</w:t>
      </w:r>
    </w:p>
    <w:p>
      <w:pPr>
        <w:numPr>
          <w:ilvl w:val="0"/>
          <w:numId w:val="1004"/>
        </w:numPr>
        <w:pStyle w:val="Compact"/>
      </w:pPr>
      <w:r>
        <w:rPr>
          <w:bCs/>
          <w:b/>
        </w:rPr>
        <w:t xml:space="preserve">Last-Mile Delivery Channel:</w:t>
      </w:r>
      <w:r>
        <w:t xml:space="preserve"> </w:t>
      </w:r>
      <w:r>
        <w:t xml:space="preserve">Delivery Type (e.g., Road Parcel Delivery - 500 km)</w:t>
      </w:r>
    </w:p>
    <w:bookmarkEnd w:id="27"/>
    <w:bookmarkStart w:id="28" w:name="use-phase-data"/>
    <w:p>
      <w:pPr>
        <w:pStyle w:val="Heading3"/>
      </w:pPr>
      <w:r>
        <w:t xml:space="preserve">1.6. Use Phase Data:</w:t>
      </w:r>
    </w:p>
    <w:p>
      <w:pPr>
        <w:numPr>
          <w:ilvl w:val="0"/>
          <w:numId w:val="1005"/>
        </w:numPr>
        <w:pStyle w:val="Compact"/>
      </w:pPr>
      <w:r>
        <w:rPr>
          <w:bCs/>
          <w:b/>
        </w:rPr>
        <w:t xml:space="preserve">Product Lifespan:</w:t>
      </w:r>
      <w:r>
        <w:t xml:space="preserve"> </w:t>
      </w:r>
      <w:r>
        <w:t xml:space="preserve">jjrzogvsfj (e.g., 5 years)</w:t>
      </w:r>
    </w:p>
    <w:p>
      <w:pPr>
        <w:numPr>
          <w:ilvl w:val="0"/>
          <w:numId w:val="1005"/>
        </w:numPr>
        <w:pStyle w:val="Compact"/>
      </w:pPr>
      <w:r>
        <w:rPr>
          <w:bCs/>
          <w:b/>
        </w:rPr>
        <w:t xml:space="preserve">Energy Consumption in Use:</w:t>
      </w:r>
      <w:r>
        <w:t xml:space="preserve"> </w:t>
      </w:r>
      <w:r>
        <w:t xml:space="preserve">wjkwuzmswl (e.g., 2 kWh/year)</w:t>
      </w:r>
    </w:p>
    <w:bookmarkEnd w:id="28"/>
    <w:bookmarkStart w:id="29" w:name="end-of-life-eol-scenarios"/>
    <w:p>
      <w:pPr>
        <w:pStyle w:val="Heading3"/>
      </w:pPr>
      <w:r>
        <w:t xml:space="preserve">1.7. End-of-Life (EoL) Scenarios:</w:t>
      </w:r>
    </w:p>
    <w:p>
      <w:pPr>
        <w:numPr>
          <w:ilvl w:val="0"/>
          <w:numId w:val="1006"/>
        </w:numPr>
        <w:pStyle w:val="Compact"/>
      </w:pPr>
      <w:r>
        <w:rPr>
          <w:bCs/>
          <w:b/>
        </w:rPr>
        <w:t xml:space="preserve">Recyclability Percentage:</w:t>
      </w:r>
      <w:r>
        <w:t xml:space="preserve"> </w:t>
      </w:r>
      <w:r>
        <w:t xml:space="preserve">zijtpkmssv (e.g., 80%)</w:t>
      </w:r>
    </w:p>
    <w:p>
      <w:pPr>
        <w:numPr>
          <w:ilvl w:val="0"/>
          <w:numId w:val="1006"/>
        </w:numPr>
        <w:pStyle w:val="Compact"/>
      </w:pPr>
      <w:r>
        <w:rPr>
          <w:bCs/>
          <w:b/>
        </w:rPr>
        <w:t xml:space="preserve">Circular/Take-back Programs:</w:t>
      </w:r>
      <w:r>
        <w:t xml:space="preserve"> </w:t>
      </w:r>
      <w:r>
        <w:t xml:space="preserve">porrgwlheq (e.g., Yes, through partner network)</w:t>
      </w:r>
    </w:p>
    <w:p>
      <w:r>
        <w:pict>
          <v:rect style="width:0;height:1.5pt" o:hralign="center" o:hrstd="t" o:hr="t"/>
        </w:pict>
      </w:r>
    </w:p>
    <w:bookmarkEnd w:id="29"/>
    <w:bookmarkEnd w:id="30"/>
    <w:bookmarkStart w:id="35" w:name="X4468b65c82fc7bf893fd55b87acd53d0cd54c86"/>
    <w:p>
      <w:pPr>
        <w:pStyle w:val="Heading2"/>
      </w:pPr>
      <w:r>
        <w:t xml:space="preserve">2. Emissions Calculation (GHG Protocol Scopes)</w:t>
      </w:r>
    </w:p>
    <w:p>
      <w:pPr>
        <w:pStyle w:val="FirstParagraph"/>
      </w:pPr>
      <w:r>
        <w:t xml:space="preserve">Emissions were calculated by multiplying activity data by relevant emission factors. Industry-standard emission factors (e.g., approximate values from Ecoinvent/DEFRA equivalents) were used where primary data was unavailable.</w:t>
      </w:r>
    </w:p>
    <w:bookmarkStart w:id="31" w:name="emission-factors-used-illustrative"/>
    <w:p>
      <w:pPr>
        <w:pStyle w:val="Heading3"/>
      </w:pPr>
      <w:r>
        <w:t xml:space="preserve">Emission Factors Used (Illustrative):</w:t>
      </w:r>
    </w:p>
    <w:p>
      <w:pPr>
        <w:numPr>
          <w:ilvl w:val="0"/>
          <w:numId w:val="1007"/>
        </w:numPr>
        <w:pStyle w:val="Compact"/>
      </w:pPr>
      <w:r>
        <w:t xml:space="preserve">Electricity Grid Mix (China): 0.55 kg CO2e/kWh</w:t>
      </w:r>
    </w:p>
    <w:p>
      <w:pPr>
        <w:numPr>
          <w:ilvl w:val="0"/>
          <w:numId w:val="1007"/>
        </w:numPr>
        <w:pStyle w:val="Compact"/>
      </w:pPr>
      <w:r>
        <w:t xml:space="preserve">Electricity Grid Mix (Europe): 0.25 kg CO2e/kWh</w:t>
      </w:r>
    </w:p>
    <w:p>
      <w:pPr>
        <w:numPr>
          <w:ilvl w:val="0"/>
          <w:numId w:val="1007"/>
        </w:numPr>
        <w:pStyle w:val="Compact"/>
      </w:pPr>
      <w:r>
        <w:t xml:space="preserve">Ocean Freight (Average): 0.01 kg CO2e/tonne-km</w:t>
      </w:r>
    </w:p>
    <w:p>
      <w:pPr>
        <w:numPr>
          <w:ilvl w:val="0"/>
          <w:numId w:val="1007"/>
        </w:numPr>
        <w:pStyle w:val="Compact"/>
      </w:pPr>
      <w:r>
        <w:t xml:space="preserve">Road Freight (Average): 0.1 kg CO2e/tonne-km</w:t>
      </w:r>
    </w:p>
    <w:p>
      <w:pPr>
        <w:numPr>
          <w:ilvl w:val="0"/>
          <w:numId w:val="1007"/>
        </w:numPr>
        <w:pStyle w:val="Compact"/>
      </w:pPr>
      <w:r>
        <w:t xml:space="preserve">Waste Treatment (Landfill/Incineration for non-recycled materials, estimated): 2.0 kg CO2e/kg</w:t>
      </w:r>
    </w:p>
    <w:bookmarkEnd w:id="31"/>
    <w:bookmarkStart w:id="32" w:name="calculations"/>
    <w:p>
      <w:pPr>
        <w:pStyle w:val="Heading3"/>
      </w:pPr>
      <w:r>
        <w:t xml:space="preserve">Calculations:</w:t>
      </w:r>
    </w:p>
    <w:bookmarkEnd w:id="32"/>
    <w:bookmarkStart w:id="33" w:name="total-product-carbon-footprint"/>
    <w:p>
      <w:pPr>
        <w:pStyle w:val="Heading3"/>
      </w:pPr>
      <w:r>
        <w:t xml:space="preserve">2.4. Total Product Carbon Footprint</w:t>
      </w:r>
    </w:p>
    <w:p>
      <w:pPr>
        <w:pStyle w:val="FirstParagraph"/>
      </w:pPr>
      <w:r>
        <w:t xml:space="preserve">Scope/Category</w:t>
      </w:r>
    </w:p>
    <w:p>
      <w:pPr>
        <w:pStyle w:val="BodyText"/>
      </w:pPr>
      <w:r>
        <w:t xml:space="preserve">Emissions (kg CO2e/unit)</w:t>
      </w:r>
    </w:p>
    <w:p>
      <w:pPr>
        <w:pStyle w:val="BodyText"/>
      </w:pPr>
      <w:r>
        <w:t xml:space="preserve">Contribution (%)</w:t>
      </w:r>
    </w:p>
    <w:p>
      <w:pPr>
        <w:pStyle w:val="BodyText"/>
      </w:pPr>
      <w:r>
        <w:t xml:space="preserve">The total Product Carbon Footprint for "vvkldhinff" is</w:t>
      </w:r>
    </w:p>
    <w:p>
      <w:pPr>
        <w:pStyle w:val="BodyText"/>
      </w:pPr>
      <w:r>
        <w:t xml:space="preserve">kg CO2e per functional unit. This figure represents the cumulative greenhouse gas emissions across the defined lifecycle stages.</w:t>
      </w:r>
    </w:p>
    <w:bookmarkEnd w:id="33"/>
    <w:bookmarkStart w:id="34" w:name="lsr-update-scope-3-compliance"/>
    <w:p>
      <w:pPr>
        <w:pStyle w:val="Heading3"/>
      </w:pPr>
      <w:r>
        <w:t xml:space="preserve">2.5. 2026 LSR Update &amp; Scope 3 Compliance</w:t>
      </w:r>
    </w:p>
    <w:p>
      <w:pPr>
        <w:pStyle w:val="FirstParagraph"/>
      </w:pPr>
      <w:r>
        <w:t xml:space="preserve">This analysis has considered the principles of the 2026 Land Sector and Removals (LSR) Standard. While specific land-use change data directly attributable to the raw materials of "vvkldhinff" was not available, the standard\'s emphasis on tracking carbon removals and land-related emissions is integrated conceptually. Future analyses would benefit from specific data on land use for key agricultural or forestry-derived components if applicable.</w:t>
      </w:r>
    </w:p>
    <w:p>
      <w:pPr>
        <w:pStyle w:val="BodyText"/>
      </w:pPr>
      <w:r>
        <w:t xml:space="preserve">In line with 2026 requirements, efforts were made to achieve at least 95% coverage for Scope 3 reporting. By including comprehensive data for purchased goods and services, upstream and downstream transportation, the use phase, and end-of-life, a significant portion of the value chain emissions has been captured, demonstrating strong compliance with the GHG Protocol\'s enhanced Scope 3 reporting standards.</w:t>
      </w:r>
    </w:p>
    <w:p>
      <w:r>
        <w:pict>
          <v:rect style="width:0;height:1.5pt" o:hralign="center" o:hrstd="t" o:hr="t"/>
        </w:pict>
      </w:r>
    </w:p>
    <w:bookmarkEnd w:id="34"/>
    <w:bookmarkEnd w:id="35"/>
    <w:bookmarkStart w:id="38" w:name="review-report"/>
    <w:p>
      <w:pPr>
        <w:pStyle w:val="Heading2"/>
      </w:pPr>
      <w:r>
        <w:t xml:space="preserve">3. Review &amp; Report</w:t>
      </w:r>
    </w:p>
    <w:bookmarkStart w:id="36" w:name="hotspots-identification"/>
    <w:p>
      <w:pPr>
        <w:pStyle w:val="Heading3"/>
      </w:pPr>
      <w:r>
        <w:t xml:space="preserve">3.1. Hotspots Identification</w:t>
      </w:r>
    </w:p>
    <w:p>
      <w:pPr>
        <w:pStyle w:val="FirstParagraph"/>
      </w:pPr>
      <w:r>
        <w:t xml:space="preserve">Based on the calculations, the primary emission hotspots for "vvkldhinff" are:</w:t>
      </w:r>
    </w:p>
    <w:p>
      <w:pPr>
        <w:numPr>
          <w:ilvl w:val="0"/>
          <w:numId w:val="1008"/>
        </w:numPr>
        <w:pStyle w:val="Compact"/>
      </w:pPr>
      <w:r>
        <w:rPr>
          <w:bCs/>
          <w:b/>
        </w:rPr>
        <w:t xml:space="preserve">Purchased Goods and Services (Materials):</w:t>
      </w:r>
      <w:r>
        <w:t xml:space="preserve"> </w:t>
      </w:r>
      <w:r>
        <w:t xml:space="preserve">This category represents the largest contributor to the overall PCF, primarily due to the inherent carbon intensity of raw material extraction and processing. This highlights the critical importance of sustainable material sourcing.</w:t>
      </w:r>
    </w:p>
    <w:p>
      <w:pPr>
        <w:numPr>
          <w:ilvl w:val="0"/>
          <w:numId w:val="1008"/>
        </w:numPr>
        <w:pStyle w:val="Compact"/>
      </w:pPr>
      <w:r>
        <w:rPr>
          <w:bCs/>
          <w:b/>
        </w:rPr>
        <w:t xml:space="preserve">Use Phase:</w:t>
      </w:r>
      <w:r>
        <w:t xml:space="preserve"> </w:t>
      </w:r>
      <w:r>
        <w:t xml:space="preserve">Energy consumption during the product\'s lifespan is a significant factor, driven by its energy intensity and expected duration of use.</w:t>
      </w:r>
    </w:p>
    <w:p>
      <w:pPr>
        <w:numPr>
          <w:ilvl w:val="0"/>
          <w:numId w:val="1008"/>
        </w:numPr>
        <w:pStyle w:val="Compact"/>
      </w:pPr>
      <w:r>
        <w:rPr>
          <w:bCs/>
          <w:b/>
        </w:rPr>
        <w:t xml:space="preserve">Production Phase (Electricity):</w:t>
      </w:r>
      <w:r>
        <w:t xml:space="preserve"> </w:t>
      </w:r>
      <w:r>
        <w:t xml:space="preserve">While renewable energy is utilized, the remaining non-renewable electricity still contributes substantially, emphasizing the need for further decarbonization of manufacturing operations.</w:t>
      </w:r>
    </w:p>
    <w:bookmarkEnd w:id="36"/>
    <w:bookmarkStart w:id="37" w:name="reliability-and-limitations"/>
    <w:p>
      <w:pPr>
        <w:pStyle w:val="Heading3"/>
      </w:pPr>
      <w:r>
        <w:t xml:space="preserve">3.2. Reliability and Limitations</w:t>
      </w:r>
    </w:p>
    <w:p>
      <w:pPr>
        <w:pStyle w:val="FirstParagraph"/>
      </w:pPr>
      <w:r>
        <w:t xml:space="preserve">The reliability of this PCF analysis is high given the detailed BOM and specific operational parameters provided. However, some limitations exist:</w:t>
      </w:r>
    </w:p>
    <w:p>
      <w:pPr>
        <w:numPr>
          <w:ilvl w:val="0"/>
          <w:numId w:val="1009"/>
        </w:numPr>
        <w:pStyle w:val="Compact"/>
      </w:pPr>
      <w:r>
        <w:rPr>
          <w:bCs/>
          <w:b/>
        </w:rPr>
        <w:t xml:space="preserve">Emission Factor Specificity:</w:t>
      </w:r>
      <w:r>
        <w:t xml:space="preserve"> </w:t>
      </w:r>
      <w:r>
        <w:t xml:space="preserve">Generic industry-average emission factors were used for some categories (e.g., transport modes, waste treatment) where specific supplier or regional data was unavailable. More precise, primary data would enhance accuracy.</w:t>
      </w:r>
    </w:p>
    <w:p>
      <w:pPr>
        <w:numPr>
          <w:ilvl w:val="0"/>
          <w:numId w:val="1009"/>
        </w:numPr>
        <w:pStyle w:val="Compact"/>
      </w:pPr>
      <w:r>
        <w:rPr>
          <w:bCs/>
          <w:b/>
        </w:rPr>
        <w:t xml:space="preserve">Placeholder Data:</w:t>
      </w:r>
      <w:r>
        <w:t xml:space="preserve"> </w:t>
      </w:r>
      <w:r>
        <w:t xml:space="preserve">Parameters like \'Select Mode\', \'roudsxeqen\', \'Delivery Type\' were interpreted with reasonable assumptions for calculation purposes. Actual, granular data for these would provide a more accurate reflection.</w:t>
      </w:r>
    </w:p>
    <w:p>
      <w:pPr>
        <w:numPr>
          <w:ilvl w:val="0"/>
          <w:numId w:val="1009"/>
        </w:numPr>
        <w:pStyle w:val="Compact"/>
      </w:pPr>
      <w:r>
        <w:rPr>
          <w:bCs/>
          <w:b/>
        </w:rPr>
        <w:t xml:space="preserve">LSR Data:</w:t>
      </w:r>
      <w:r>
        <w:t xml:space="preserve"> </w:t>
      </w:r>
      <w:r>
        <w:t xml:space="preserve">The application of the LSR standard was conceptual due to a lack of specific land-use data.</w:t>
      </w:r>
    </w:p>
    <w:p>
      <w:r>
        <w:pict>
          <v:rect style="width:0;height:1.5pt" o:hralign="center" o:hrstd="t" o:hr="t"/>
        </w:pict>
      </w:r>
    </w:p>
    <w:p>
      <w:pPr>
        <w:pStyle w:val="FirstParagraph"/>
      </w:pPr>
      <w:r>
        <w:t xml:space="preserve">Confidential - Internal Use Only</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vvkldhinff</dc:title>
  <dc:creator/>
  <dc:description>Detailed Product Carbon Footprint (PCF) analysis report for vvkldhinff, performed by yzdygmvkng, Senior Sustainability Consultant at jydvvljsvp, adhering to GHG Protocol and 2026 LSR update.</dc:description>
  <dc:language>en</dc:language>
  <cp:keywords/>
  <dcterms:created xsi:type="dcterms:W3CDTF">2026-07-15T09:28:33Z</dcterms:created>
  <dcterms:modified xsi:type="dcterms:W3CDTF">2026-07-15T09:28:33Z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