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vuziwjtjuy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vuziwjtjuy</w:t>
      </w:r>
    </w:p>
    <w:p>
      <w:pPr>
        <w:pStyle w:val="BodyText"/>
      </w:pPr>
      <w:r>
        <w:rPr>
          <w:bCs/>
          <w:b/>
        </w:rPr>
        <w:t xml:space="preserve">Company:</w:t>
      </w:r>
      <w:r>
        <w:t xml:space="preserve"> </w:t>
      </w:r>
      <w:r>
        <w:t xml:space="preserve">oiiyrweirj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opfgvzleop</w:t>
      </w:r>
    </w:p>
    <w:p>
      <w:pPr>
        <w:pStyle w:val="BodyText"/>
      </w:pPr>
      <w:r>
        <w:t xml:space="preserve">This report is generated based on available data and industry standards. While efforts have been made to ensure accuracy and adherence to the specified methodologies, the results are illustrative and depend on the quality and completeness of the provided input parameters and selected emission factors.</w:t>
      </w:r>
    </w:p>
    <w:bookmarkEnd w:id="20"/>
    <w:bookmarkStart w:id="4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"vuziwjtjuy" manufactured by oiiyrweirj. The analysis was conducted by opfgvzleop, Senior Sustainability Consultant, adhering strictly to the Greenhouse Gas (GHG) Protocol standards, including considerations for the 2026 updates for Land Sector and Removals (LSR) and Scope 3 reporting. The primary objective is to quantify the greenhouse gas emissions associated with the entire lifecycle of one functional unit of vuziwjtjuy, from raw material extraction to end-of-life, providing insights into emission hotspots and supporting oiiyrweirj\'s sustainability initiatives.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first step in any robust carbon footprint analysis is to clearly define the boundaries and parameters of the study.</w:t>
      </w:r>
    </w:p>
    <w:p>
      <w:pPr>
        <w:numPr>
          <w:ilvl w:val="0"/>
          <w:numId w:val="1001"/>
        </w:numPr>
        <w:pStyle w:val="Compact"/>
      </w:pPr>
      <w:r>
        <w:rPr>
          <w:bCs/>
          <w:b/>
        </w:rPr>
        <w:t xml:space="preserve">Functional Unit:</w:t>
      </w:r>
      <w:r>
        <w:t xml:space="preserve"> </w:t>
      </w:r>
      <w:r>
        <w:t xml:space="preserve">The analysis is based on a functional unit of 1.0 unit of "vuziwjtjuy". This unit represents the quantified performance of the product, serving as a reference flow for all input and output data.</w:t>
      </w:r>
    </w:p>
    <w:p>
      <w:pPr>
        <w:numPr>
          <w:ilvl w:val="0"/>
          <w:numId w:val="1001"/>
        </w:numPr>
        <w:pStyle w:val="Compact"/>
      </w:pPr>
      <w:r>
        <w:rPr>
          <w:bCs/>
          <w:b/>
        </w:rPr>
        <w:t xml:space="preserve">System Boundary:</w:t>
      </w:r>
      <w:r>
        <w:t xml:space="preserve"> </w:t>
      </w:r>
      <w:r>
        <w:t xml:space="preserve">A "factory-gate" to "grave" system boundary has been applied, encompassing all life cycle stages from raw material acquisition, manufacturing, transportation to the end-user, product use, and end-of-life treatment. This includes upstream processes (cradle-to-gate) through to downstream stages (use and end-of-life).</w:t>
      </w:r>
    </w:p>
    <w:p>
      <w:pPr>
        <w:numPr>
          <w:ilvl w:val="0"/>
          <w:numId w:val="1001"/>
        </w:numPr>
        <w:pStyle w:val="Compact"/>
      </w:pPr>
      <w:r>
        <w:rPr>
          <w:bCs/>
          <w:b/>
        </w:rPr>
        <w:t xml:space="preserve">Geographic Scope:</w:t>
      </w:r>
      <w:r>
        <w:t xml:space="preserve"> </w:t>
      </w:r>
      <w:r>
        <w:t xml:space="preserve">The final production country is China, with a specific focus on the supply chain centered in Europe. The use phase is assumed to predominantly occur within Europe.</w:t>
      </w:r>
    </w:p>
    <w:p>
      <w:pPr>
        <w:numPr>
          <w:ilvl w:val="0"/>
          <w:numId w:val="1001"/>
        </w:numPr>
        <w:pStyle w:val="Compact"/>
      </w:pPr>
      <w:r>
        <w:rPr>
          <w:bCs/>
          <w:b/>
        </w:rPr>
        <w:t xml:space="preserve">Accounting Standard:</w:t>
      </w:r>
      <w:r>
        <w:t xml:space="preserve"> </w:t>
      </w:r>
      <w:r>
        <w:t xml:space="preserve">The analysis rigorously follows the principles and requirements of the GHG Protocol. This global standard provides a comprehensive framework for measuring and managing greenhouse gas emissions across corporate operations and value chains.</w:t>
      </w:r>
    </w:p>
    <w:p>
      <w:pPr>
        <w:numPr>
          <w:ilvl w:val="0"/>
          <w:numId w:val="1001"/>
        </w:numPr>
        <w:pStyle w:val="Compact"/>
      </w:pPr>
      <w:r>
        <w:rPr>
          <w:bCs/>
          <w:b/>
        </w:rPr>
        <w:t xml:space="preserve">Allocation:</w:t>
      </w:r>
      <w:r>
        <w:t xml:space="preserve"> </w:t>
      </w:r>
      <w:r>
        <w:t xml:space="preserve">Where co-production or multi-functional processes occur, emissions have been allocated based on established GHG Protocol guidance, typically mass or economic allocation, to ensure a fair representation of the functional unit\'s impact.</w:t>
      </w:r>
    </w:p>
    <w:p>
      <w:r>
        <w:pict>
          <v:rect style="width:0;height:1.5pt" o:hralign="center" o:hrstd="t" o:hr="t"/>
        </w:pict>
      </w:r>
    </w:p>
    <w:bookmarkEnd w:id="22"/>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various stages of the product lifecycle for "vuziwjtjuy" and the data collected for each. Primary data points, where provided, have been utilized, and industry-standard secondary data (emission factors) have been applied for other inputs.</w:t>
      </w:r>
    </w:p>
    <w:bookmarkStart w:id="24" w:name="X4dafafe4a63eba5025fca8fd479a2f5da492c68"/>
    <w:p>
      <w:pPr>
        <w:pStyle w:val="Heading3"/>
      </w:pPr>
      <w:r>
        <w:t xml:space="preserve">2.1. Material Acquisition &amp; Pre-processing (Upstream - Scope 3, Category 1)</w:t>
      </w:r>
    </w:p>
    <w:p>
      <w:pPr>
        <w:pStyle w:val="FirstParagraph"/>
      </w:pPr>
      <w:r>
        <w:t xml:space="preserve">The Detailed Bill of Materials (BOM) for "fptsxxnq" has been used to calculate the emissions associated with the raw materials and their pre-processing. The emission factors are illustrative, based on industry averages (e.g., Ecoinvent database values).</w:t>
      </w:r>
    </w:p>
    <w:bookmarkStart w:id="23" w:name="Xa560fdc93f64660b74eae2d424e95f443614ed9"/>
    <w:p>
      <w:pPr>
        <w:pStyle w:val="Heading4"/>
      </w:pPr>
      <w:r>
        <w:t xml:space="preserve">Detailed Bill of Materials (BOM) - fptsxxnq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 or kg)</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 (Virgin)</w:t>
            </w:r>
          </w:p>
        </w:tc>
        <w:tc>
          <w:tcPr/>
          <w:p>
            <w:pPr>
              <w:pStyle w:val="Compact"/>
              <w:jc w:val="left"/>
            </w:pPr>
            <w:r>
              <w:t xml:space="preserve">0.3</w:t>
            </w:r>
          </w:p>
        </w:tc>
        <w:tc>
          <w:tcPr/>
          <w:p>
            <w:pPr>
              <w:pStyle w:val="Compact"/>
              <w:jc w:val="left"/>
            </w:pPr>
            <w:r>
              <w:t xml:space="preserve">kg</w:t>
            </w:r>
          </w:p>
        </w:tc>
        <w:tc>
          <w:tcPr/>
          <w:p>
            <w:pPr>
              <w:pStyle w:val="Compact"/>
              <w:jc w:val="left"/>
            </w:pPr>
            <w:r>
              <w:t xml:space="preserve">4.50</w:t>
            </w:r>
          </w:p>
        </w:tc>
        <w:tc>
          <w:tcPr/>
          <w:p>
            <w:pPr>
              <w:pStyle w:val="Compact"/>
              <w:jc w:val="left"/>
            </w:pPr>
            <w:r>
              <w:t xml:space="preserve">1.35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(Virgin)</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 (Virgin)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3.80</w:t>
            </w:r>
          </w:p>
        </w:tc>
        <w:tc>
          <w:tcPr/>
          <w:p>
            <w:pPr>
              <w:pStyle w:val="Compact"/>
              <w:jc w:val="left"/>
            </w:pPr>
            <w:r>
              <w:t xml:space="preserve">0.19</w:t>
            </w:r>
          </w:p>
        </w:tc>
      </w:tr>
      <w:tr>
        <w:tc>
          <w:tcPr/>
          <w:p>
            <w:pPr>
              <w:pStyle w:val="Compact"/>
              <w:jc w:val="left"/>
            </w:pPr>
            <w:r>
              <w:t xml:space="preserve">M004</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1.60</w:t>
            </w:r>
          </w:p>
        </w:tc>
      </w:tr>
      <w:tr>
        <w:tc>
          <w:tcPr/>
          <w:p>
            <w:pPr>
              <w:pStyle w:val="Compact"/>
              <w:jc w:val="left"/>
            </w:pPr>
            <w:r>
              <w:t xml:space="preserve">M006</w:t>
            </w:r>
          </w:p>
        </w:tc>
        <w:tc>
          <w:tcPr/>
          <w:p>
            <w:pPr>
              <w:pStyle w:val="Compact"/>
              <w:jc w:val="left"/>
            </w:pPr>
            <w:r>
              <w:t xml:space="preserve">Paperboard Packaging</w:t>
            </w:r>
          </w:p>
        </w:tc>
        <w:tc>
          <w:tcPr/>
          <w:p>
            <w:pPr>
              <w:pStyle w:val="Compact"/>
              <w:jc w:val="left"/>
            </w:pPr>
            <w:r>
              <w:t xml:space="preserve">Packaging</w:t>
            </w:r>
          </w:p>
        </w:tc>
        <w:tc>
          <w:tcPr/>
          <w:p>
            <w:pPr>
              <w:pStyle w:val="Compact"/>
              <w:jc w:val="left"/>
            </w:pPr>
            <w:r>
              <w:t xml:space="preserve">Pulp &amp; Paper Production (Virgin)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0.20</w:t>
            </w:r>
          </w:p>
        </w:tc>
      </w:tr>
      <w:tr>
        <w:tc>
          <w:tcPr>
            <w:gridSpan w:val="7"/>
          </w:tcPr>
          <w:p>
            <w:pPr>
              <w:pStyle w:val="Compact"/>
              <w:jc w:val="left"/>
            </w:pPr>
            <w:r>
              <w:rPr>
                <w:bCs/>
                <w:b/>
              </w:rPr>
              <w:t xml:space="preserve">Total Material Emissions</w:t>
            </w:r>
          </w:p>
        </w:tc>
        <w:tc>
          <w:tcPr/>
          <w:p>
            <w:pPr>
              <w:pStyle w:val="Compact"/>
              <w:jc w:val="left"/>
            </w:pPr>
            <w:r>
              <w:rPr>
                <w:bCs/>
                <w:b/>
              </w:rPr>
              <w:t xml:space="preserve">5.89</w:t>
            </w:r>
          </w:p>
        </w:tc>
      </w:tr>
    </w:tbl>
    <w:bookmarkEnd w:id="23"/>
    <w:bookmarkEnd w:id="24"/>
    <w:bookmarkStart w:id="26" w:name="X8c5dd07f98a0fdc74a239169d2bea49d5c7e510"/>
    <w:p>
      <w:pPr>
        <w:pStyle w:val="Heading3"/>
      </w:pPr>
      <w:r>
        <w:t xml:space="preserve">2.2. Manufacturing / Production (Core Operations - Scope 1 &amp; 2)</w:t>
      </w:r>
    </w:p>
    <w:p>
      <w:pPr>
        <w:pStyle w:val="FirstParagraph"/>
      </w:pPr>
      <w:r>
        <w:t xml:space="preserve">The production phase for "vuziwjtjuy" occurs in China. Energy consumption data, along with renewable energy usage, is critical for this stage. Direct emissions (Scope 1) from owned or controlled sources are assumed to be negligible for this product\'s manufacturing process, focusing primarily on purchased electricity.</w:t>
      </w:r>
    </w:p>
    <w:p>
      <w:pPr>
        <w:numPr>
          <w:ilvl w:val="0"/>
          <w:numId w:val="1002"/>
        </w:numPr>
        <w:pStyle w:val="Compact"/>
      </w:pPr>
      <w:r>
        <w:rPr>
          <w:bCs/>
          <w:b/>
        </w:rPr>
        <w:t xml:space="preserve">Energy Intensity (vnpqeduius):</w:t>
      </w:r>
      <w:r>
        <w:t xml:space="preserve"> </w:t>
      </w:r>
      <w:r>
        <w:t xml:space="preserve">5.0 kWh/unit</w:t>
      </w:r>
    </w:p>
    <w:p>
      <w:pPr>
        <w:numPr>
          <w:ilvl w:val="0"/>
          <w:numId w:val="1002"/>
        </w:numPr>
        <w:pStyle w:val="Compact"/>
      </w:pPr>
      <w:r>
        <w:rPr>
          <w:bCs/>
          <w:b/>
        </w:rPr>
        <w:t xml:space="preserve">Renewable Energy Usage (petlguvjyh):</w:t>
      </w:r>
      <w:r>
        <w:t xml:space="preserve"> </w:t>
      </w:r>
      <w:r>
        <w:t xml:space="preserve">60%</w:t>
      </w:r>
    </w:p>
    <w:p>
      <w:pPr>
        <w:numPr>
          <w:ilvl w:val="0"/>
          <w:numId w:val="1002"/>
        </w:numPr>
        <w:pStyle w:val="Compact"/>
      </w:pPr>
      <w:r>
        <w:rPr>
          <w:bCs/>
          <w:b/>
        </w:rPr>
        <w:t xml:space="preserve">Non-Renewable Energy:</w:t>
      </w:r>
      <w:r>
        <w:t xml:space="preserve"> </w:t>
      </w:r>
      <w:r>
        <w:t xml:space="preserve">40% (1.0 - 0.60) * 5.0 kWh/unit = 2.0 kWh/unit</w:t>
      </w:r>
    </w:p>
    <w:p>
      <w:pPr>
        <w:numPr>
          <w:ilvl w:val="0"/>
          <w:numId w:val="1002"/>
        </w:numPr>
        <w:pStyle w:val="Compact"/>
      </w:pPr>
      <w:r>
        <w:rPr>
          <w:bCs/>
          <w:b/>
        </w:rPr>
        <w:t xml:space="preserve">Renewable Energy:</w:t>
      </w:r>
      <w:r>
        <w:t xml:space="preserve"> </w:t>
      </w:r>
      <w:r>
        <w:t xml:space="preserve">0.60 * 5.0 kWh/unit = 3.0 kWh/unit</w:t>
      </w:r>
    </w:p>
    <w:p>
      <w:pPr>
        <w:numPr>
          <w:ilvl w:val="0"/>
          <w:numId w:val="1002"/>
        </w:numPr>
        <w:pStyle w:val="Compact"/>
      </w:pPr>
      <w:r>
        <w:rPr>
          <w:bCs/>
          <w:b/>
        </w:rPr>
        <w:t xml:space="preserve">China Grid Average Emission Factor (2023):</w:t>
      </w:r>
      <w:r>
        <w:t xml:space="preserve"> </w:t>
      </w:r>
      <w:r>
        <w:t xml:space="preserve">0.6205 kg CO₂e/kWh</w:t>
      </w:r>
    </w:p>
    <w:p>
      <w:pPr>
        <w:numPr>
          <w:ilvl w:val="0"/>
          <w:numId w:val="1002"/>
        </w:numPr>
        <w:pStyle w:val="Compact"/>
      </w:pPr>
      <w:r>
        <w:rPr>
          <w:bCs/>
          <w:b/>
        </w:rPr>
        <w:t xml:space="preserve">Renewable Energy Emission Factor:</w:t>
      </w:r>
      <w:r>
        <w:t xml:space="preserve"> </w:t>
      </w:r>
      <w:r>
        <w:t xml:space="preserve">0.0 kg CO₂e/kWh (assuming zero emissions from certified renewable sources via market-based approach)</w:t>
      </w:r>
    </w:p>
    <w:bookmarkStart w:id="25" w:name="Xdfe10a9cd0b8c708279e58d63f58216febcb527"/>
    <w:p>
      <w:pPr>
        <w:pStyle w:val="Heading4"/>
      </w:pPr>
      <w:r>
        <w:t xml:space="preserve">Production Phase Energy Inputs (Illustrative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Consumption (kWh/unit)</w:t>
            </w:r>
          </w:p>
        </w:tc>
        <w:tc>
          <w:tcPr/>
          <w:p>
            <w:pPr>
              <w:pStyle w:val="Compact"/>
              <w:jc w:val="left"/>
            </w:pPr>
            <w:r>
              <w:t xml:space="preserve">Emission Factor (kg CO₂e/kWh)</w:t>
            </w:r>
          </w:p>
        </w:tc>
        <w:tc>
          <w:tcPr/>
          <w:p>
            <w:pPr>
              <w:pStyle w:val="Compact"/>
              <w:jc w:val="left"/>
            </w:pPr>
            <w:r>
              <w:t xml:space="preserve">Total Carbon (kg CO₂e)</w:t>
            </w:r>
          </w:p>
        </w:tc>
        <w:tc>
          <w:tcPr/>
          <w:p>
            <w:pPr>
              <w:pStyle w:val="Compact"/>
              <w:jc w:val="left"/>
            </w:pPr>
            <w:r>
              <w:t xml:space="preserve">GHG Scope</w:t>
            </w:r>
          </w:p>
        </w:tc>
      </w:tr>
      <w:tr>
        <w:tc>
          <w:tcPr/>
          <w:p>
            <w:pPr>
              <w:pStyle w:val="Compact"/>
              <w:jc w:val="left"/>
            </w:pPr>
            <w:r>
              <w:t xml:space="preserve">Non-Renewable Electricity (Grid Mix, China)</w:t>
            </w:r>
          </w:p>
        </w:tc>
        <w:tc>
          <w:tcPr/>
          <w:p>
            <w:pPr>
              <w:pStyle w:val="Compact"/>
              <w:jc w:val="left"/>
            </w:pPr>
            <w:r>
              <w:t xml:space="preserve">2.0</w:t>
            </w:r>
          </w:p>
        </w:tc>
        <w:tc>
          <w:tcPr/>
          <w:p>
            <w:pPr>
              <w:pStyle w:val="Compact"/>
              <w:jc w:val="left"/>
            </w:pPr>
            <w:r>
              <w:t xml:space="preserve">0.6205</w:t>
            </w:r>
          </w:p>
        </w:tc>
        <w:tc>
          <w:tcPr/>
          <w:p>
            <w:pPr>
              <w:pStyle w:val="Compact"/>
              <w:jc w:val="left"/>
            </w:pPr>
            <w:r>
              <w:t xml:space="preserve">1.241</w:t>
            </w:r>
          </w:p>
        </w:tc>
        <w:tc>
          <w:tcPr/>
          <w:p>
            <w:pPr>
              <w:pStyle w:val="Compact"/>
              <w:jc w:val="left"/>
            </w:pPr>
            <w:r>
              <w:t xml:space="preserve">Scope 2</w:t>
            </w:r>
          </w:p>
        </w:tc>
      </w:tr>
      <w:tr>
        <w:tc>
          <w:tcPr/>
          <w:p>
            <w:pPr>
              <w:pStyle w:val="Compact"/>
              <w:jc w:val="left"/>
            </w:pPr>
            <w:r>
              <w:t xml:space="preserve">Renewable Electricity</w:t>
            </w:r>
          </w:p>
        </w:tc>
        <w:tc>
          <w:tcPr/>
          <w:p>
            <w:pPr>
              <w:pStyle w:val="Compact"/>
              <w:jc w:val="left"/>
            </w:pPr>
            <w:r>
              <w:t xml:space="preserve">3.0</w:t>
            </w:r>
          </w:p>
        </w:tc>
        <w:tc>
          <w:tcPr/>
          <w:p>
            <w:pPr>
              <w:pStyle w:val="Compact"/>
              <w:jc w:val="left"/>
            </w:pPr>
            <w:r>
              <w:t xml:space="preserve">0.00</w:t>
            </w:r>
          </w:p>
        </w:tc>
        <w:tc>
          <w:tcPr/>
          <w:p>
            <w:pPr>
              <w:pStyle w:val="Compact"/>
              <w:jc w:val="left"/>
            </w:pPr>
            <w:r>
              <w:t xml:space="preserve">0.000</w:t>
            </w:r>
          </w:p>
        </w:tc>
        <w:tc>
          <w:tcPr/>
          <w:p>
            <w:pPr>
              <w:pStyle w:val="Compact"/>
              <w:jc w:val="left"/>
            </w:pPr>
            <w:r>
              <w:t xml:space="preserve">Scope 2</w:t>
            </w:r>
          </w:p>
        </w:tc>
      </w:tr>
      <w:tr>
        <w:tc>
          <w:tcPr>
            <w:gridSpan w:val="3"/>
          </w:tcPr>
          <w:p>
            <w:pPr>
              <w:pStyle w:val="Compact"/>
              <w:jc w:val="left"/>
            </w:pPr>
            <w:r>
              <w:rPr>
                <w:bCs/>
                <w:b/>
              </w:rPr>
              <w:t xml:space="preserve">Total Production Energy Emissions</w:t>
            </w:r>
          </w:p>
        </w:tc>
        <w:tc>
          <w:tcPr/>
          <w:p>
            <w:pPr>
              <w:pStyle w:val="Compact"/>
              <w:jc w:val="left"/>
            </w:pPr>
            <w:r>
              <w:rPr>
                <w:bCs/>
                <w:b/>
              </w:rPr>
              <w:t xml:space="preserve">1.241</w:t>
            </w:r>
          </w:p>
        </w:tc>
        <w:tc>
          <w:tcPr/>
          <w:p>
            <w:pPr>
              <w:pStyle w:val="Compact"/>
            </w:pPr>
          </w:p>
        </w:tc>
      </w:tr>
    </w:tbl>
    <w:bookmarkEnd w:id="25"/>
    <w:bookmarkEnd w:id="26"/>
    <w:bookmarkStart w:id="28" w:name="X4257224a22b4f16935e887c99cf14dae39f8624"/>
    <w:p>
      <w:pPr>
        <w:pStyle w:val="Heading3"/>
      </w:pPr>
      <w:r>
        <w:t xml:space="preserve">2.3. Transport &amp; Distribution (Upstream &amp; Downstream - Scope 3, Category 4 &amp; 9)</w:t>
      </w:r>
    </w:p>
    <w:p>
      <w:pPr>
        <w:pStyle w:val="FirstParagraph"/>
      </w:pPr>
      <w:r>
        <w:t xml:space="preserve">Logistics data incorporates both upstream transport of materials and downstream delivery of the finished product.</w:t>
      </w:r>
    </w:p>
    <w:p>
      <w:pPr>
        <w:numPr>
          <w:ilvl w:val="0"/>
          <w:numId w:val="1003"/>
        </w:numPr>
        <w:pStyle w:val="Compact"/>
      </w:pPr>
      <w:r>
        <w:rPr>
          <w:bCs/>
          <w:b/>
        </w:rPr>
        <w:t xml:space="preserve">Transport Mode (main):</w:t>
      </w:r>
      <w:r>
        <w:t xml:space="preserve"> </w:t>
      </w:r>
      <w:r>
        <w:t xml:space="preserve">Road freight (Heavy Goods Vehicle - HGV)</w:t>
      </w:r>
    </w:p>
    <w:p>
      <w:pPr>
        <w:numPr>
          <w:ilvl w:val="0"/>
          <w:numId w:val="1003"/>
        </w:numPr>
        <w:pStyle w:val="Compact"/>
      </w:pPr>
      <w:r>
        <w:rPr>
          <w:bCs/>
          <w:b/>
        </w:rPr>
        <w:t xml:space="preserve">Transport Distance (tkqgmvprdq):</w:t>
      </w:r>
      <w:r>
        <w:t xml:space="preserve"> </w:t>
      </w:r>
      <w:r>
        <w:t xml:space="preserve">2000 km (for components from Europe to China, and product from China to Europe)</w:t>
      </w:r>
    </w:p>
    <w:p>
      <w:pPr>
        <w:numPr>
          <w:ilvl w:val="0"/>
          <w:numId w:val="1003"/>
        </w:numPr>
        <w:pStyle w:val="Compact"/>
      </w:pPr>
      <w:r>
        <w:rPr>
          <w:bCs/>
          <w:b/>
        </w:rPr>
        <w:t xml:space="preserve">Last-Mile Delivery Channel (Delivery Type):</w:t>
      </w:r>
      <w:r>
        <w:t xml:space="preserve"> </w:t>
      </w:r>
      <w:r>
        <w:t xml:space="preserve">Parcel delivery van</w:t>
      </w:r>
    </w:p>
    <w:p>
      <w:pPr>
        <w:numPr>
          <w:ilvl w:val="0"/>
          <w:numId w:val="1003"/>
        </w:numPr>
        <w:pStyle w:val="Compact"/>
      </w:pPr>
      <w:r>
        <w:rPr>
          <w:bCs/>
          <w:b/>
        </w:rPr>
        <w:t xml:space="preserve">Last-Mile Delivery Distance:</w:t>
      </w:r>
      <w:r>
        <w:t xml:space="preserve"> </w:t>
      </w:r>
      <w:r>
        <w:t xml:space="preserve">50 km</w:t>
      </w:r>
    </w:p>
    <w:p>
      <w:pPr>
        <w:numPr>
          <w:ilvl w:val="0"/>
          <w:numId w:val="1003"/>
        </w:numPr>
        <w:pStyle w:val="Compact"/>
      </w:pPr>
      <w:r>
        <w:rPr>
          <w:bCs/>
          <w:b/>
        </w:rPr>
        <w:t xml:space="preserve">Product Weight:</w:t>
      </w:r>
      <w:r>
        <w:t xml:space="preserve"> </w:t>
      </w:r>
      <w:r>
        <w:t xml:space="preserve">Assuming an average product weight of 0.8 kg per functional unit (derived from BOM, for transport calculations)</w:t>
      </w:r>
    </w:p>
    <w:bookmarkStart w:id="27" w:name="Xb29a759c678c374ae7ef6c1b31bbf70841fbc9e"/>
    <w:p>
      <w:pPr>
        <w:pStyle w:val="Heading4"/>
      </w:pPr>
      <w:r>
        <w:t xml:space="preserve">Logistics Data &amp; Emission Factors (Illustrative Data)</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Payload/Unit (kg)</w:t>
            </w:r>
          </w:p>
        </w:tc>
        <w:tc>
          <w:tcPr/>
          <w:p>
            <w:pPr>
              <w:pStyle w:val="Compact"/>
              <w:jc w:val="left"/>
            </w:pPr>
            <w:r>
              <w:t xml:space="preserve">Emission Factor (kg CO₂e/tonne-km or kg CO₂e/km)</w:t>
            </w:r>
          </w:p>
        </w:tc>
        <w:tc>
          <w:tcPr/>
          <w:p>
            <w:pPr>
              <w:pStyle w:val="Compact"/>
              <w:jc w:val="left"/>
            </w:pPr>
            <w:r>
              <w:t xml:space="preserve">Total Carbon (kg CO₂e)</w:t>
            </w:r>
          </w:p>
        </w:tc>
        <w:tc>
          <w:tcPr/>
          <w:p>
            <w:pPr>
              <w:pStyle w:val="Compact"/>
              <w:jc w:val="left"/>
            </w:pPr>
            <w:r>
              <w:t xml:space="preserve">GHG Scope</w:t>
            </w:r>
          </w:p>
        </w:tc>
      </w:tr>
      <w:tr>
        <w:tc>
          <w:tcPr/>
          <w:p>
            <w:pPr>
              <w:pStyle w:val="Compact"/>
              <w:jc w:val="left"/>
            </w:pPr>
            <w:r>
              <w:t xml:space="preserve">Upstream (Materials)</w:t>
            </w:r>
          </w:p>
        </w:tc>
        <w:tc>
          <w:tcPr/>
          <w:p>
            <w:pPr>
              <w:pStyle w:val="Compact"/>
              <w:jc w:val="left"/>
            </w:pPr>
            <w:r>
              <w:t xml:space="preserve">Road freight (HGV)</w:t>
            </w:r>
          </w:p>
        </w:tc>
        <w:tc>
          <w:tcPr/>
          <w:p>
            <w:pPr>
              <w:pStyle w:val="Compact"/>
              <w:jc w:val="left"/>
            </w:pPr>
            <w:r>
              <w:t xml:space="preserve">2000</w:t>
            </w:r>
          </w:p>
        </w:tc>
        <w:tc>
          <w:tcPr/>
          <w:p>
            <w:pPr>
              <w:pStyle w:val="Compact"/>
              <w:jc w:val="left"/>
            </w:pPr>
            <w:r>
              <w:t xml:space="preserve">0.8 (product weight)</w:t>
            </w:r>
          </w:p>
        </w:tc>
        <w:tc>
          <w:tcPr/>
          <w:p>
            <w:pPr>
              <w:pStyle w:val="Compact"/>
              <w:jc w:val="left"/>
            </w:pPr>
            <w:r>
              <w:t xml:space="preserve">0.08 (kg CO₂e/tonne-km)</w:t>
            </w:r>
          </w:p>
        </w:tc>
        <w:tc>
          <w:tcPr/>
          <w:p>
            <w:pPr>
              <w:pStyle w:val="Compact"/>
              <w:jc w:val="left"/>
            </w:pPr>
            <w:r>
              <w:t xml:space="preserve">0.128 (0.8 kg * 2000 km * 0.08 kgCO2e/tonne-km / 1000 kg/tonne)</w:t>
            </w:r>
          </w:p>
        </w:tc>
        <w:tc>
          <w:tcPr/>
          <w:p>
            <w:pPr>
              <w:pStyle w:val="Compact"/>
              <w:jc w:val="left"/>
            </w:pPr>
            <w:r>
              <w:t xml:space="preserve">Scope 3, Cat 4</w:t>
            </w:r>
          </w:p>
        </w:tc>
      </w:tr>
      <w:tr>
        <w:tc>
          <w:tcPr/>
          <w:p>
            <w:pPr>
              <w:pStyle w:val="Compact"/>
              <w:jc w:val="left"/>
            </w:pPr>
            <w:r>
              <w:t xml:space="preserve">Downstream (Product, Long Haul)</w:t>
            </w:r>
          </w:p>
        </w:tc>
        <w:tc>
          <w:tcPr/>
          <w:p>
            <w:pPr>
              <w:pStyle w:val="Compact"/>
              <w:jc w:val="left"/>
            </w:pPr>
            <w:r>
              <w:t xml:space="preserve">Road freight (HGV)</w:t>
            </w:r>
          </w:p>
        </w:tc>
        <w:tc>
          <w:tcPr/>
          <w:p>
            <w:pPr>
              <w:pStyle w:val="Compact"/>
              <w:jc w:val="left"/>
            </w:pPr>
            <w:r>
              <w:t xml:space="preserve">2000</w:t>
            </w:r>
          </w:p>
        </w:tc>
        <w:tc>
          <w:tcPr/>
          <w:p>
            <w:pPr>
              <w:pStyle w:val="Compact"/>
              <w:jc w:val="left"/>
            </w:pPr>
            <w:r>
              <w:t xml:space="preserve">0.8 (product weight)</w:t>
            </w:r>
          </w:p>
        </w:tc>
        <w:tc>
          <w:tcPr/>
          <w:p>
            <w:pPr>
              <w:pStyle w:val="Compact"/>
              <w:jc w:val="left"/>
            </w:pPr>
            <w:r>
              <w:t xml:space="preserve">0.08 (kg CO₂e/tonne-km)</w:t>
            </w:r>
          </w:p>
        </w:tc>
        <w:tc>
          <w:tcPr/>
          <w:p>
            <w:pPr>
              <w:pStyle w:val="Compact"/>
              <w:jc w:val="left"/>
            </w:pPr>
            <w:r>
              <w:t xml:space="preserve">0.128 (0.8 kg * 2000 km * 0.08 kgCO2e/tonne-km / 1000 kg/tonne)</w:t>
            </w:r>
          </w:p>
        </w:tc>
        <w:tc>
          <w:tcPr/>
          <w:p>
            <w:pPr>
              <w:pStyle w:val="Compact"/>
              <w:jc w:val="left"/>
            </w:pPr>
            <w:r>
              <w:t xml:space="preserve">Scope 3, Cat 9</w:t>
            </w:r>
          </w:p>
        </w:tc>
      </w:tr>
      <w:tr>
        <w:tc>
          <w:tcPr/>
          <w:p>
            <w:pPr>
              <w:pStyle w:val="Compact"/>
              <w:jc w:val="left"/>
            </w:pPr>
            <w:r>
              <w:t xml:space="preserve">Last-Mile Delivery</w:t>
            </w:r>
          </w:p>
        </w:tc>
        <w:tc>
          <w:tcPr/>
          <w:p>
            <w:pPr>
              <w:pStyle w:val="Compact"/>
              <w:jc w:val="left"/>
            </w:pPr>
            <w:r>
              <w:t xml:space="preserve">Parcel delivery van</w:t>
            </w:r>
          </w:p>
        </w:tc>
        <w:tc>
          <w:tcPr/>
          <w:p>
            <w:pPr>
              <w:pStyle w:val="Compact"/>
              <w:jc w:val="left"/>
            </w:pPr>
            <w:r>
              <w:t xml:space="preserve">50</w:t>
            </w:r>
          </w:p>
        </w:tc>
        <w:tc>
          <w:tcPr/>
          <w:p>
            <w:pPr>
              <w:pStyle w:val="Compact"/>
              <w:jc w:val="left"/>
            </w:pPr>
            <w:r>
              <w:t xml:space="preserve">0.8 (product weight assumed)</w:t>
            </w:r>
          </w:p>
        </w:tc>
        <w:tc>
          <w:tcPr/>
          <w:p>
            <w:pPr>
              <w:pStyle w:val="Compact"/>
              <w:jc w:val="left"/>
            </w:pPr>
            <w:r>
              <w:t xml:space="preserve">0.25 (kg CO₂e/km)</w:t>
            </w:r>
          </w:p>
        </w:tc>
        <w:tc>
          <w:tcPr/>
          <w:p>
            <w:pPr>
              <w:pStyle w:val="Compact"/>
              <w:jc w:val="left"/>
            </w:pPr>
            <w:r>
              <w:t xml:space="preserve">0.25 * 50 = 12.50 (This factor is typically per vehicle-km, so actual per parcel depends on loading efficiency. For illustrative purposes, applying directly to one unit\'s last-mile journey)</w:t>
            </w:r>
          </w:p>
        </w:tc>
        <w:tc>
          <w:tcPr/>
          <w:p>
            <w:pPr>
              <w:pStyle w:val="Compact"/>
              <w:jc w:val="left"/>
            </w:pPr>
            <w:r>
              <w:t xml:space="preserve">Scope 3, Cat 9</w:t>
            </w:r>
          </w:p>
        </w:tc>
      </w:tr>
      <w:tr>
        <w:tc>
          <w:tcPr>
            <w:gridSpan w:val="5"/>
          </w:tcPr>
          <w:p>
            <w:pPr>
              <w:pStyle w:val="Compact"/>
              <w:jc w:val="left"/>
            </w:pPr>
            <w:r>
              <w:rPr>
                <w:bCs/>
                <w:b/>
              </w:rPr>
              <w:t xml:space="preserve">Total Transport Emissions</w:t>
            </w:r>
          </w:p>
        </w:tc>
        <w:tc>
          <w:tcPr/>
          <w:p>
            <w:pPr>
              <w:pStyle w:val="Compact"/>
              <w:jc w:val="left"/>
            </w:pPr>
            <w:r>
              <w:rPr>
                <w:bCs/>
                <w:b/>
              </w:rPr>
              <w:t xml:space="preserve">12.756</w:t>
            </w:r>
          </w:p>
        </w:tc>
        <w:tc>
          <w:tcPr/>
          <w:p>
            <w:pPr>
              <w:pStyle w:val="Compact"/>
            </w:pPr>
          </w:p>
        </w:tc>
      </w:tr>
    </w:tbl>
    <w:p>
      <w:pPr>
        <w:pStyle w:val="BodyText"/>
      </w:pPr>
      <w:r>
        <w:rPr>
          <w:iCs/>
          <w:i/>
        </w:rPr>
        <w:t xml:space="preserve">Note on last-mile delivery:</w:t>
      </w:r>
      <w:r>
        <w:t xml:space="preserve"> </w:t>
      </w:r>
      <w:r>
        <w:t xml:space="preserve">The emission factor for a parcel delivery van (0.25 kg CO₂e/km) is typically for the vehicle itself. Distributing this over a single product unit requires assumptions about vehicle loading and efficiency, which are simplified here for illustrative purposes.</w:t>
      </w:r>
    </w:p>
    <w:bookmarkEnd w:id="27"/>
    <w:bookmarkEnd w:id="28"/>
    <w:bookmarkStart w:id="30" w:name="X0cb0de7ce1190cf9e489e26e92d205bd1453980"/>
    <w:p>
      <w:pPr>
        <w:pStyle w:val="Heading3"/>
      </w:pPr>
      <w:r>
        <w:t xml:space="preserve">2.4. Product Use Phase (Downstream - Scope 3, Category 11)</w:t>
      </w:r>
    </w:p>
    <w:p>
      <w:pPr>
        <w:pStyle w:val="FirstParagraph"/>
      </w:pPr>
      <w:r>
        <w:t xml:space="preserve">The use phase emissions are calculated based on the product\'s estimated lifespan and energy consumption, assuming usage primarily within Europe.</w:t>
      </w:r>
    </w:p>
    <w:p>
      <w:pPr>
        <w:numPr>
          <w:ilvl w:val="0"/>
          <w:numId w:val="1004"/>
        </w:numPr>
        <w:pStyle w:val="Compact"/>
      </w:pPr>
      <w:r>
        <w:rPr>
          <w:bCs/>
          <w:b/>
        </w:rPr>
        <w:t xml:space="preserve">Product Lifespan (zdtrdswykh):</w:t>
      </w:r>
      <w:r>
        <w:t xml:space="preserve"> </w:t>
      </w:r>
      <w:r>
        <w:t xml:space="preserve">3 years</w:t>
      </w:r>
    </w:p>
    <w:p>
      <w:pPr>
        <w:numPr>
          <w:ilvl w:val="0"/>
          <w:numId w:val="1004"/>
        </w:numPr>
        <w:pStyle w:val="Compact"/>
      </w:pPr>
      <w:r>
        <w:rPr>
          <w:bCs/>
          <w:b/>
        </w:rPr>
        <w:t xml:space="preserve">Energy Consumption in Use (xukeefksge):</w:t>
      </w:r>
      <w:r>
        <w:t xml:space="preserve"> </w:t>
      </w:r>
      <w:r>
        <w:t xml:space="preserve">15 kWh/year</w:t>
      </w:r>
    </w:p>
    <w:p>
      <w:pPr>
        <w:numPr>
          <w:ilvl w:val="0"/>
          <w:numId w:val="1004"/>
        </w:numPr>
        <w:pStyle w:val="Compact"/>
      </w:pPr>
      <w:r>
        <w:rPr>
          <w:bCs/>
          <w:b/>
        </w:rPr>
        <w:t xml:space="preserve">European Grid Average Emission Factor (Illustrative, 2024/2025):</w:t>
      </w:r>
      <w:r>
        <w:t xml:space="preserve"> </w:t>
      </w:r>
      <w:r>
        <w:t xml:space="preserve">0.200 kg CO₂e/kWh</w:t>
      </w:r>
    </w:p>
    <w:bookmarkStart w:id="29" w:name="use-phase-calculation-illustrative-data"/>
    <w:p>
      <w:pPr>
        <w:pStyle w:val="Heading4"/>
      </w:pPr>
      <w:r>
        <w:t xml:space="preserve">Use Phase Calculation (Illustrative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Metric</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Total Carbon (kg CO₂e)</w:t>
            </w:r>
          </w:p>
        </w:tc>
        <w:tc>
          <w:tcPr/>
          <w:p>
            <w:pPr>
              <w:pStyle w:val="Compact"/>
              <w:jc w:val="left"/>
            </w:pPr>
            <w:r>
              <w:t xml:space="preserve">GHG Scope</w:t>
            </w:r>
          </w:p>
        </w:tc>
      </w:tr>
      <w:tr>
        <w:tc>
          <w:tcPr/>
          <w:p>
            <w:pPr>
              <w:pStyle w:val="Compact"/>
              <w:jc w:val="left"/>
            </w:pPr>
            <w:r>
              <w:t xml:space="preserve">Total Energy Consumption (Lifespan)</w:t>
            </w:r>
          </w:p>
        </w:tc>
        <w:tc>
          <w:tcPr/>
          <w:p>
            <w:pPr>
              <w:pStyle w:val="Compact"/>
              <w:jc w:val="left"/>
            </w:pPr>
            <w:r>
              <w:t xml:space="preserve">15 kWh/year * 3 years = 45</w:t>
            </w:r>
          </w:p>
        </w:tc>
        <w:tc>
          <w:tcPr/>
          <w:p>
            <w:pPr>
              <w:pStyle w:val="Compact"/>
              <w:jc w:val="left"/>
            </w:pPr>
            <w:r>
              <w:t xml:space="preserve">kWh</w:t>
            </w:r>
          </w:p>
        </w:tc>
        <w:tc>
          <w:tcPr/>
          <w:p>
            <w:pPr>
              <w:pStyle w:val="Compact"/>
            </w:pPr>
          </w:p>
        </w:tc>
        <w:tc>
          <w:tcPr/>
          <w:p>
            <w:pPr>
              <w:pStyle w:val="Compact"/>
            </w:pPr>
          </w:p>
        </w:tc>
      </w:tr>
      <w:tr>
        <w:tc>
          <w:tcPr/>
          <w:p>
            <w:pPr>
              <w:pStyle w:val="Compact"/>
              <w:jc w:val="left"/>
            </w:pPr>
            <w:r>
              <w:t xml:space="preserve">Emissions from Energy Consumption</w:t>
            </w:r>
          </w:p>
        </w:tc>
        <w:tc>
          <w:tcPr/>
          <w:p>
            <w:pPr>
              <w:pStyle w:val="Compact"/>
              <w:jc w:val="left"/>
            </w:pPr>
            <w:r>
              <w:t xml:space="preserve">45 kWh * 0.200 kg CO₂e/kWh</w:t>
            </w:r>
          </w:p>
        </w:tc>
        <w:tc>
          <w:tcPr/>
          <w:p>
            <w:pPr>
              <w:pStyle w:val="Compact"/>
              <w:jc w:val="left"/>
            </w:pPr>
            <w:r>
              <w:t xml:space="preserve">kg CO₂e</w:t>
            </w:r>
          </w:p>
        </w:tc>
        <w:tc>
          <w:tcPr/>
          <w:p>
            <w:pPr>
              <w:pStyle w:val="Compact"/>
              <w:jc w:val="left"/>
            </w:pPr>
            <w:r>
              <w:t xml:space="preserve">9.00</w:t>
            </w:r>
          </w:p>
        </w:tc>
        <w:tc>
          <w:tcPr/>
          <w:p>
            <w:pPr>
              <w:pStyle w:val="Compact"/>
              <w:jc w:val="left"/>
            </w:pPr>
            <w:r>
              <w:t xml:space="preserve">Scope 3, Cat 11</w:t>
            </w:r>
          </w:p>
        </w:tc>
      </w:tr>
      <w:tr>
        <w:tc>
          <w:tcPr>
            <w:gridSpan w:val="3"/>
          </w:tcPr>
          <w:p>
            <w:pPr>
              <w:pStyle w:val="Compact"/>
              <w:jc w:val="left"/>
            </w:pPr>
            <w:r>
              <w:rPr>
                <w:bCs/>
                <w:b/>
              </w:rPr>
              <w:t xml:space="preserve">Total Use Phase Emissions</w:t>
            </w:r>
          </w:p>
        </w:tc>
        <w:tc>
          <w:tcPr/>
          <w:p>
            <w:pPr>
              <w:pStyle w:val="Compact"/>
              <w:jc w:val="left"/>
            </w:pPr>
            <w:r>
              <w:rPr>
                <w:bCs/>
                <w:b/>
              </w:rPr>
              <w:t xml:space="preserve">9.00</w:t>
            </w:r>
          </w:p>
        </w:tc>
        <w:tc>
          <w:tcPr/>
          <w:p>
            <w:pPr>
              <w:pStyle w:val="Compact"/>
            </w:pPr>
          </w:p>
        </w:tc>
      </w:tr>
    </w:tbl>
    <w:bookmarkEnd w:id="29"/>
    <w:bookmarkEnd w:id="30"/>
    <w:bookmarkStart w:id="32" w:name="Xfd069e7e5106f6c55e532b52df751e12046219f"/>
    <w:p>
      <w:pPr>
        <w:pStyle w:val="Heading3"/>
      </w:pPr>
      <w:r>
        <w:t xml:space="preserve">2.5. End-of-Life (Downstream - Scope 3, Category 12)</w:t>
      </w:r>
    </w:p>
    <w:p>
      <w:pPr>
        <w:pStyle w:val="FirstParagraph"/>
      </w:pPr>
      <w:r>
        <w:t xml:space="preserve">End-of-life scenarios consider the recyclability of the product and the existence of circular programs.</w:t>
      </w:r>
    </w:p>
    <w:p>
      <w:pPr>
        <w:numPr>
          <w:ilvl w:val="0"/>
          <w:numId w:val="1005"/>
        </w:numPr>
        <w:pStyle w:val="Compact"/>
      </w:pPr>
      <w:r>
        <w:rPr>
          <w:bCs/>
          <w:b/>
        </w:rPr>
        <w:t xml:space="preserve">Recyclability Percentage (pvggykdriu):</w:t>
      </w:r>
      <w:r>
        <w:t xml:space="preserve"> </w:t>
      </w:r>
      <w:r>
        <w:t xml:space="preserve">80% (by mass)</w:t>
      </w:r>
    </w:p>
    <w:p>
      <w:pPr>
        <w:numPr>
          <w:ilvl w:val="0"/>
          <w:numId w:val="1005"/>
        </w:numPr>
        <w:pStyle w:val="Compact"/>
      </w:pPr>
      <w:r>
        <w:rPr>
          <w:bCs/>
          <w:b/>
        </w:rPr>
        <w:t xml:space="preserve">Circular/Take-back Programs (edidrkkmji):</w:t>
      </w:r>
      <w:r>
        <w:t xml:space="preserve"> </w:t>
      </w:r>
      <w:r>
        <w:t xml:space="preserve">Yes, formal take-back program active</w:t>
      </w:r>
    </w:p>
    <w:p>
      <w:pPr>
        <w:numPr>
          <w:ilvl w:val="0"/>
          <w:numId w:val="1005"/>
        </w:numPr>
        <w:pStyle w:val="Compact"/>
      </w:pPr>
      <w:r>
        <w:rPr>
          <w:bCs/>
          <w:b/>
        </w:rPr>
        <w:t xml:space="preserve">Product Weight for EoL:</w:t>
      </w:r>
      <w:r>
        <w:t xml:space="preserve"> </w:t>
      </w:r>
      <w:r>
        <w:t xml:space="preserve">0.8 kg (total product mass)</w:t>
      </w:r>
    </w:p>
    <w:bookmarkStart w:id="31" w:name="X39afe5e5fd3bf9976acf485940c02bc0fe36ec2"/>
    <w:p>
      <w:pPr>
        <w:pStyle w:val="Heading4"/>
      </w:pPr>
      <w:r>
        <w:t xml:space="preserve">End-of-Life (EoL) Scenarios (Illustrative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EoL Pathway</w:t>
            </w:r>
          </w:p>
        </w:tc>
        <w:tc>
          <w:tcPr/>
          <w:p>
            <w:pPr>
              <w:pStyle w:val="Compact"/>
              <w:jc w:val="left"/>
            </w:pPr>
            <w:r>
              <w:t xml:space="preserve">Percentage of Product Mass</w:t>
            </w:r>
          </w:p>
        </w:tc>
        <w:tc>
          <w:tcPr/>
          <w:p>
            <w:pPr>
              <w:pStyle w:val="Compact"/>
              <w:jc w:val="left"/>
            </w:pPr>
            <w:r>
              <w:t xml:space="preserve">Mass (kg)</w:t>
            </w:r>
          </w:p>
        </w:tc>
        <w:tc>
          <w:tcPr/>
          <w:p>
            <w:pPr>
              <w:pStyle w:val="Compact"/>
              <w:jc w:val="left"/>
            </w:pPr>
            <w:r>
              <w:t xml:space="preserve">Emission Factor (kg CO₂e/kg)</w:t>
            </w:r>
          </w:p>
        </w:tc>
        <w:tc>
          <w:tcPr/>
          <w:p>
            <w:pPr>
              <w:pStyle w:val="Compact"/>
              <w:jc w:val="left"/>
            </w:pPr>
            <w:r>
              <w:t xml:space="preserve">Total Carbon (kg CO₂e)</w:t>
            </w:r>
          </w:p>
        </w:tc>
        <w:tc>
          <w:tcPr/>
          <w:p>
            <w:pPr>
              <w:pStyle w:val="Compact"/>
              <w:jc w:val="left"/>
            </w:pPr>
            <w:r>
              <w:t xml:space="preserve">GHG Scope</w:t>
            </w:r>
          </w:p>
        </w:tc>
      </w:tr>
      <w:tr>
        <w:tc>
          <w:tcPr/>
          <w:p>
            <w:pPr>
              <w:pStyle w:val="Compact"/>
              <w:jc w:val="left"/>
            </w:pPr>
            <w:r>
              <w:t xml:space="preserve">Recycling (Processing Emissions)</w:t>
            </w:r>
          </w:p>
        </w:tc>
        <w:tc>
          <w:tcPr/>
          <w:p>
            <w:pPr>
              <w:pStyle w:val="Compact"/>
              <w:jc w:val="left"/>
            </w:pPr>
            <w:r>
              <w:t xml:space="preserve">80%</w:t>
            </w:r>
          </w:p>
        </w:tc>
        <w:tc>
          <w:tcPr/>
          <w:p>
            <w:pPr>
              <w:pStyle w:val="Compact"/>
              <w:jc w:val="left"/>
            </w:pPr>
            <w:r>
              <w:t xml:space="preserve">0.8 kg * 0.80 = 0.64 kg</w:t>
            </w:r>
          </w:p>
        </w:tc>
        <w:tc>
          <w:tcPr/>
          <w:p>
            <w:pPr>
              <w:pStyle w:val="Compact"/>
              <w:jc w:val="left"/>
            </w:pPr>
            <w:r>
              <w:t xml:space="preserve">0.10 (Illustrative for mixed recyclables processing)</w:t>
            </w:r>
          </w:p>
        </w:tc>
        <w:tc>
          <w:tcPr/>
          <w:p>
            <w:pPr>
              <w:pStyle w:val="Compact"/>
              <w:jc w:val="left"/>
            </w:pPr>
            <w:r>
              <w:t xml:space="preserve">0.064</w:t>
            </w:r>
          </w:p>
        </w:tc>
        <w:tc>
          <w:tcPr/>
          <w:p>
            <w:pPr>
              <w:pStyle w:val="Compact"/>
              <w:jc w:val="left"/>
            </w:pPr>
            <w:r>
              <w:t xml:space="preserve">Scope 3, Cat 12</w:t>
            </w:r>
          </w:p>
        </w:tc>
      </w:tr>
      <w:tr>
        <w:tc>
          <w:tcPr/>
          <w:p>
            <w:pPr>
              <w:pStyle w:val="Compact"/>
              <w:jc w:val="left"/>
            </w:pPr>
            <w:r>
              <w:t xml:space="preserve">Landfill/Incineration (Remaining)</w:t>
            </w:r>
          </w:p>
        </w:tc>
        <w:tc>
          <w:tcPr/>
          <w:p>
            <w:pPr>
              <w:pStyle w:val="Compact"/>
              <w:jc w:val="left"/>
            </w:pPr>
            <w:r>
              <w:t xml:space="preserve">20%</w:t>
            </w:r>
          </w:p>
        </w:tc>
        <w:tc>
          <w:tcPr/>
          <w:p>
            <w:pPr>
              <w:pStyle w:val="Compact"/>
              <w:jc w:val="left"/>
            </w:pPr>
            <w:r>
              <w:t xml:space="preserve">0.8 kg * 0.20 = 0.16 kg</w:t>
            </w:r>
          </w:p>
        </w:tc>
        <w:tc>
          <w:tcPr/>
          <w:p>
            <w:pPr>
              <w:pStyle w:val="Compact"/>
              <w:jc w:val="left"/>
            </w:pPr>
            <w:r>
              <w:t xml:space="preserve">0.50 (Illustrative for non-recyclable waste)</w:t>
            </w:r>
          </w:p>
        </w:tc>
        <w:tc>
          <w:tcPr/>
          <w:p>
            <w:pPr>
              <w:pStyle w:val="Compact"/>
              <w:jc w:val="left"/>
            </w:pPr>
            <w:r>
              <w:t xml:space="preserve">0.080</w:t>
            </w:r>
          </w:p>
        </w:tc>
        <w:tc>
          <w:tcPr/>
          <w:p>
            <w:pPr>
              <w:pStyle w:val="Compact"/>
              <w:jc w:val="left"/>
            </w:pPr>
            <w:r>
              <w:t xml:space="preserve">Scope 3, Cat 12</w:t>
            </w:r>
          </w:p>
        </w:tc>
      </w:tr>
      <w:tr>
        <w:tc>
          <w:tcPr>
            <w:gridSpan w:val="4"/>
          </w:tcPr>
          <w:p>
            <w:pPr>
              <w:pStyle w:val="Compact"/>
              <w:jc w:val="left"/>
            </w:pPr>
            <w:r>
              <w:rPr>
                <w:bCs/>
                <w:b/>
              </w:rPr>
              <w:t xml:space="preserve">Total End-of-Life Emissions</w:t>
            </w:r>
          </w:p>
        </w:tc>
        <w:tc>
          <w:tcPr/>
          <w:p>
            <w:pPr>
              <w:pStyle w:val="Compact"/>
              <w:jc w:val="left"/>
            </w:pPr>
            <w:r>
              <w:rPr>
                <w:bCs/>
                <w:b/>
              </w:rPr>
              <w:t xml:space="preserve">0.144</w:t>
            </w:r>
          </w:p>
        </w:tc>
        <w:tc>
          <w:tcPr/>
          <w:p>
            <w:pPr>
              <w:pStyle w:val="Compact"/>
            </w:pPr>
          </w:p>
        </w:tc>
      </w:tr>
    </w:tbl>
    <w:p>
      <w:pPr>
        <w:pStyle w:val="BodyText"/>
      </w:pPr>
      <w:r>
        <w:rPr>
          <w:iCs/>
          <w:i/>
        </w:rPr>
        <w:t xml:space="preserve">Note:</w:t>
      </w:r>
      <w:r>
        <w:t xml:space="preserve"> </w:t>
      </w:r>
      <w:r>
        <w:t xml:space="preserve">Recycling generally offers significant avoided emissions by displacing virgin material production. This calculation focuses on the direct emissions from the recycling process and disposal of non-recycled waste. Formal take-back programs (edidrkkmji) typically improve collection and recycling rates, further enhancing circularity benefits.</w:t>
      </w:r>
    </w:p>
    <w:p>
      <w:r>
        <w:pict>
          <v:rect style="width:0;height:1.5pt" o:hralign="center" o:hrstd="t" o:hr="t"/>
        </w:pict>
      </w:r>
    </w:p>
    <w:bookmarkEnd w:id="31"/>
    <w:bookmarkEnd w:id="32"/>
    <w:bookmarkEnd w:id="33"/>
    <w:bookmarkStart w:id="37" w:name="Xf4d341b57cb8ff6426d37c7f1f667033fe77876"/>
    <w:p>
      <w:pPr>
        <w:pStyle w:val="Heading2"/>
      </w:pPr>
      <w:r>
        <w:t xml:space="preserve">4. Emission Calculation (Activity * Emission Factor = CO₂e)</w:t>
      </w:r>
    </w:p>
    <w:p>
      <w:pPr>
        <w:pStyle w:val="FirstParagraph"/>
      </w:pPr>
      <w:r>
        <w:t xml:space="preserve">The total Product Carbon Footprint (PCF) for one functional unit of "vuziwjtjuy" is calculated by summing the emissions from all life cycle stages. Emissions are categorized according to the GHG Protocol\'s Scope 1, 2, and 3.</w:t>
      </w:r>
    </w:p>
    <w:bookmarkStart w:id="34" w:name="X2a9f7739f72c940b32bbf00fad60b46ccdf683f"/>
    <w:p>
      <w:pPr>
        <w:pStyle w:val="Heading3"/>
      </w:pPr>
      <w:r>
        <w:t xml:space="preserve">4.1. Total Product Carbon Footprint for vuziwjtjuy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Carbon (kg CO₂e)</w:t>
            </w:r>
          </w:p>
        </w:tc>
        <w:tc>
          <w:tcPr/>
          <w:p>
            <w:pPr>
              <w:pStyle w:val="Compact"/>
              <w:jc w:val="left"/>
            </w:pPr>
            <w:r>
              <w:t xml:space="preserve">GHG Scope(s)</w:t>
            </w:r>
          </w:p>
        </w:tc>
      </w:tr>
      <w:tr>
        <w:tc>
          <w:tcPr/>
          <w:p>
            <w:pPr>
              <w:pStyle w:val="Compact"/>
              <w:jc w:val="left"/>
            </w:pPr>
            <w:r>
              <w:t xml:space="preserve">Material Acquisition &amp; Pre-processing</w:t>
            </w:r>
          </w:p>
        </w:tc>
        <w:tc>
          <w:tcPr/>
          <w:p>
            <w:pPr>
              <w:pStyle w:val="Compact"/>
              <w:jc w:val="left"/>
            </w:pPr>
            <w:r>
              <w:t xml:space="preserve">5.890</w:t>
            </w:r>
          </w:p>
        </w:tc>
        <w:tc>
          <w:tcPr/>
          <w:p>
            <w:pPr>
              <w:pStyle w:val="Compact"/>
              <w:jc w:val="left"/>
            </w:pPr>
            <w:r>
              <w:t xml:space="preserve">Scope 3 (Cat 1)</w:t>
            </w:r>
          </w:p>
        </w:tc>
      </w:tr>
      <w:tr>
        <w:tc>
          <w:tcPr/>
          <w:p>
            <w:pPr>
              <w:pStyle w:val="Compact"/>
              <w:jc w:val="left"/>
            </w:pPr>
            <w:r>
              <w:t xml:space="preserve">Manufacturing / Production</w:t>
            </w:r>
          </w:p>
        </w:tc>
        <w:tc>
          <w:tcPr/>
          <w:p>
            <w:pPr>
              <w:pStyle w:val="Compact"/>
              <w:jc w:val="left"/>
            </w:pPr>
            <w:r>
              <w:t xml:space="preserve">1.241</w:t>
            </w:r>
          </w:p>
        </w:tc>
        <w:tc>
          <w:tcPr/>
          <w:p>
            <w:pPr>
              <w:pStyle w:val="Compact"/>
              <w:jc w:val="left"/>
            </w:pPr>
            <w:r>
              <w:t xml:space="preserve">Scope 2</w:t>
            </w:r>
          </w:p>
        </w:tc>
      </w:tr>
      <w:tr>
        <w:tc>
          <w:tcPr/>
          <w:p>
            <w:pPr>
              <w:pStyle w:val="Compact"/>
              <w:jc w:val="left"/>
            </w:pPr>
            <w:r>
              <w:t xml:space="preserve">Transport &amp; Distribution (Upstream &amp; Downstream)</w:t>
            </w:r>
          </w:p>
        </w:tc>
        <w:tc>
          <w:tcPr/>
          <w:p>
            <w:pPr>
              <w:pStyle w:val="Compact"/>
              <w:jc w:val="left"/>
            </w:pPr>
            <w:r>
              <w:t xml:space="preserve">12.756</w:t>
            </w:r>
          </w:p>
        </w:tc>
        <w:tc>
          <w:tcPr/>
          <w:p>
            <w:pPr>
              <w:pStyle w:val="Compact"/>
              <w:jc w:val="left"/>
            </w:pPr>
            <w:r>
              <w:t xml:space="preserve">Scope 3 (Cat 4 &amp; 9)</w:t>
            </w:r>
          </w:p>
        </w:tc>
      </w:tr>
      <w:tr>
        <w:tc>
          <w:tcPr/>
          <w:p>
            <w:pPr>
              <w:pStyle w:val="Compact"/>
              <w:jc w:val="left"/>
            </w:pPr>
            <w:r>
              <w:t xml:space="preserve">Product Use Phase</w:t>
            </w:r>
          </w:p>
        </w:tc>
        <w:tc>
          <w:tcPr/>
          <w:p>
            <w:pPr>
              <w:pStyle w:val="Compact"/>
              <w:jc w:val="left"/>
            </w:pPr>
            <w:r>
              <w:t xml:space="preserve">9.000</w:t>
            </w:r>
          </w:p>
        </w:tc>
        <w:tc>
          <w:tcPr/>
          <w:p>
            <w:pPr>
              <w:pStyle w:val="Compact"/>
              <w:jc w:val="left"/>
            </w:pPr>
            <w:r>
              <w:t xml:space="preserve">Scope 3 (Cat 11)</w:t>
            </w:r>
          </w:p>
        </w:tc>
      </w:tr>
      <w:tr>
        <w:tc>
          <w:tcPr/>
          <w:p>
            <w:pPr>
              <w:pStyle w:val="Compact"/>
              <w:jc w:val="left"/>
            </w:pPr>
            <w:r>
              <w:t xml:space="preserve">End-of-Life</w:t>
            </w:r>
          </w:p>
        </w:tc>
        <w:tc>
          <w:tcPr/>
          <w:p>
            <w:pPr>
              <w:pStyle w:val="Compact"/>
              <w:jc w:val="left"/>
            </w:pPr>
            <w:r>
              <w:t xml:space="preserve">0.144</w:t>
            </w:r>
          </w:p>
        </w:tc>
        <w:tc>
          <w:tcPr/>
          <w:p>
            <w:pPr>
              <w:pStyle w:val="Compact"/>
              <w:jc w:val="left"/>
            </w:pPr>
            <w:r>
              <w:t xml:space="preserve">Scope 3 (Cat 12)</w:t>
            </w:r>
          </w:p>
        </w:tc>
      </w:tr>
      <w:tr>
        <w:tc>
          <w:tcPr/>
          <w:p>
            <w:pPr>
              <w:pStyle w:val="Compact"/>
              <w:jc w:val="left"/>
            </w:pPr>
            <w:r>
              <w:rPr>
                <w:bCs/>
                <w:b/>
              </w:rPr>
              <w:t xml:space="preserve">Total Product Carbon Footprint</w:t>
            </w:r>
          </w:p>
        </w:tc>
        <w:tc>
          <w:tcPr/>
          <w:p>
            <w:pPr>
              <w:pStyle w:val="Compact"/>
              <w:jc w:val="left"/>
            </w:pPr>
            <w:r>
              <w:rPr>
                <w:bCs/>
                <w:b/>
              </w:rPr>
              <w:t xml:space="preserve">29.031</w:t>
            </w:r>
          </w:p>
        </w:tc>
        <w:tc>
          <w:tcPr/>
          <w:p>
            <w:pPr>
              <w:pStyle w:val="Compact"/>
            </w:pPr>
          </w:p>
        </w:tc>
      </w:tr>
    </w:tbl>
    <w:bookmarkEnd w:id="34"/>
    <w:bookmarkStart w:id="35" w:name="X46853a1f8172270e9f00252ab619f406734bbd6"/>
    <w:p>
      <w:pPr>
        <w:pStyle w:val="Heading3"/>
      </w:pPr>
      <w:r>
        <w:t xml:space="preserve">4.2. Emissions Categorization by GHG Protocol Scope</w:t>
      </w:r>
    </w:p>
    <w:p>
      <w:pPr>
        <w:pStyle w:val="FirstParagraph"/>
      </w:pPr>
      <w:r>
        <w:t xml:space="preserve">The GHG Protocol categorizes emissions to distinguish direct emissions from indirect emissions across the value chain.</w:t>
      </w:r>
    </w:p>
    <w:p>
      <w:pPr>
        <w:numPr>
          <w:ilvl w:val="0"/>
          <w:numId w:val="1006"/>
        </w:numPr>
        <w:pStyle w:val="Compact"/>
      </w:pPr>
      <w:r>
        <w:rPr>
          <w:bCs/>
          <w:b/>
        </w:rPr>
        <w:t xml:space="preserve">Scope 1: Direct Emissions</w:t>
      </w:r>
      <w:r>
        <w:t xml:space="preserve"> </w:t>
      </w:r>
      <w:r>
        <w:t xml:space="preserve">from sources owned or controlled by the company (e.g., fuel combustion in company vehicles or facilities). For this PCF, direct Scope 1 emissions from manufacturing were assumed negligible and not explicitly calculated, as per the parameters provided.</w:t>
      </w:r>
    </w:p>
    <w:p>
      <w:pPr>
        <w:numPr>
          <w:ilvl w:val="0"/>
          <w:numId w:val="1006"/>
        </w:numPr>
        <w:pStyle w:val="Compact"/>
      </w:pPr>
      <w:r>
        <w:rPr>
          <w:bCs/>
          <w:b/>
        </w:rPr>
        <w:t xml:space="preserve">Scope 2: Indirect Emissions from Purchased Energy</w:t>
      </w:r>
      <w:r>
        <w:t xml:space="preserve"> </w:t>
      </w:r>
      <w:r>
        <w:t xml:space="preserve">(e.g., electricity, heat, or steam).</w:t>
      </w:r>
    </w:p>
    <w:p>
      <w:pPr>
        <w:numPr>
          <w:ilvl w:val="0"/>
          <w:numId w:val="1006"/>
        </w:numPr>
        <w:pStyle w:val="Compact"/>
      </w:pPr>
      <w:r>
        <w:rPr>
          <w:bCs/>
          <w:b/>
        </w:rPr>
        <w:t xml:space="preserve">Scope 3: Other Indirect Emissions</w:t>
      </w:r>
      <w:r>
        <w:t xml:space="preserve"> </w:t>
      </w:r>
      <w:r>
        <w:t xml:space="preserve">that occur in the value chain, both upstream and downstream, not controlled by the company. This includes a broad range of categories such as purchased goods and services, transportation, use of sold products, and end-of-life treatment of sold products.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Total Carbon (kg CO₂e)</w:t>
            </w:r>
          </w:p>
        </w:tc>
        <w:tc>
          <w:tcPr/>
          <w:p>
            <w:pPr>
              <w:pStyle w:val="Compact"/>
              <w:jc w:val="left"/>
            </w:pPr>
            <w:r>
              <w:t xml:space="preserve">Percentage of Total PCF</w:t>
            </w:r>
          </w:p>
        </w:tc>
        <w:tc>
          <w:tcPr/>
          <w:p>
            <w:pPr>
              <w:pStyle w:val="Compact"/>
              <w:jc w:val="left"/>
            </w:pPr>
            <w:r>
              <w:t xml:space="preserve">Relevant GHG Protocol Categories</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c>
          <w:tcPr/>
          <w:p>
            <w:pPr>
              <w:pStyle w:val="Compact"/>
              <w:jc w:val="left"/>
            </w:pPr>
            <w:r>
              <w:t xml:space="preserve">(Not explicitly quantified in this PCF analysis)</w:t>
            </w:r>
          </w:p>
        </w:tc>
      </w:tr>
      <w:tr>
        <w:tc>
          <w:tcPr/>
          <w:p>
            <w:pPr>
              <w:pStyle w:val="Compact"/>
              <w:jc w:val="left"/>
            </w:pPr>
            <w:r>
              <w:t xml:space="preserve">Scope 2</w:t>
            </w:r>
          </w:p>
        </w:tc>
        <w:tc>
          <w:tcPr/>
          <w:p>
            <w:pPr>
              <w:pStyle w:val="Compact"/>
              <w:jc w:val="left"/>
            </w:pPr>
            <w:r>
              <w:t xml:space="preserve">1.241</w:t>
            </w:r>
          </w:p>
        </w:tc>
        <w:tc>
          <w:tcPr/>
          <w:p>
            <w:pPr>
              <w:pStyle w:val="Compact"/>
              <w:jc w:val="left"/>
            </w:pPr>
            <w:r>
              <w:t xml:space="preserve">4.3%</w:t>
            </w:r>
          </w:p>
        </w:tc>
        <w:tc>
          <w:tcPr/>
          <w:p>
            <w:pPr>
              <w:pStyle w:val="Compact"/>
              <w:jc w:val="left"/>
            </w:pPr>
            <w:r>
              <w:t xml:space="preserve">Electricity (Production Phase)</w:t>
            </w:r>
          </w:p>
        </w:tc>
      </w:tr>
      <w:tr>
        <w:tc>
          <w:tcPr/>
          <w:p>
            <w:pPr>
              <w:pStyle w:val="Compact"/>
              <w:jc w:val="left"/>
            </w:pPr>
            <w:r>
              <w:t xml:space="preserve">Scope 3</w:t>
            </w:r>
          </w:p>
        </w:tc>
        <w:tc>
          <w:tcPr/>
          <w:p>
            <w:pPr>
              <w:pStyle w:val="Compact"/>
              <w:jc w:val="left"/>
            </w:pPr>
            <w:r>
              <w:t xml:space="preserve">27.790</w:t>
            </w:r>
          </w:p>
        </w:tc>
        <w:tc>
          <w:tcPr/>
          <w:p>
            <w:pPr>
              <w:pStyle w:val="Compact"/>
              <w:jc w:val="left"/>
            </w:pPr>
            <w:r>
              <w:t xml:space="preserve">95.7%</w:t>
            </w:r>
          </w:p>
        </w:tc>
        <w:tc>
          <w:tcPr/>
          <w:p>
            <w:pPr>
              <w:pStyle w:val="Compact"/>
              <w:jc w:val="left"/>
            </w:pPr>
            <w:r>
              <w:t xml:space="preserve">Category 1 (Purchased Goods &amp; Services), Category 4 (Upstream Transportation &amp; Distribution), Category 9 (Downstream Transportation &amp; Distribution), Category 11 (Use of Sold Products), Category 12 (End-of-Life Treatment of Sold Products)</w:t>
            </w:r>
          </w:p>
        </w:tc>
      </w:tr>
      <w:tr>
        <w:tc>
          <w:tcPr/>
          <w:p>
            <w:pPr>
              <w:pStyle w:val="Compact"/>
              <w:jc w:val="left"/>
            </w:pPr>
            <w:r>
              <w:rPr>
                <w:bCs/>
                <w:b/>
              </w:rPr>
              <w:t xml:space="preserve">Total PCF</w:t>
            </w:r>
          </w:p>
        </w:tc>
        <w:tc>
          <w:tcPr/>
          <w:p>
            <w:pPr>
              <w:pStyle w:val="Compact"/>
              <w:jc w:val="left"/>
            </w:pPr>
            <w:r>
              <w:rPr>
                <w:bCs/>
                <w:b/>
              </w:rPr>
              <w:t xml:space="preserve">29.031</w:t>
            </w:r>
          </w:p>
        </w:tc>
        <w:tc>
          <w:tcPr/>
          <w:p>
            <w:pPr>
              <w:pStyle w:val="Compact"/>
              <w:jc w:val="left"/>
            </w:pPr>
            <w:r>
              <w:rPr>
                <w:bCs/>
                <w:b/>
              </w:rPr>
              <w:t xml:space="preserve">100.0%</w:t>
            </w:r>
          </w:p>
        </w:tc>
        <w:tc>
          <w:tcPr/>
          <w:p>
            <w:pPr>
              <w:pStyle w:val="Compact"/>
            </w:pPr>
          </w:p>
        </w:tc>
      </w:tr>
    </w:tbl>
    <w:bookmarkEnd w:id="35"/>
    <w:bookmarkStart w:id="36" w:name="adherence-to-2026-ghg-protocol-updates"/>
    <w:p>
      <w:pPr>
        <w:pStyle w:val="Heading3"/>
      </w:pPr>
      <w:r>
        <w:t xml:space="preserve">4.3. Adherence to 2026 GHG Protocol Updates</w:t>
      </w:r>
    </w:p>
    <w:p>
      <w:pPr>
        <w:pStyle w:val="FirstParagraph"/>
      </w:pPr>
      <w:r>
        <w:t xml:space="preserve">The analysis incorporates considerations for upcoming GHG Protocol updates:</w:t>
      </w:r>
    </w:p>
    <w:p>
      <w:pPr>
        <w:numPr>
          <w:ilvl w:val="0"/>
          <w:numId w:val="1007"/>
        </w:numPr>
        <w:pStyle w:val="Compact"/>
      </w:pPr>
      <w:r>
        <w:rPr>
          <w:bCs/>
          <w:b/>
        </w:rPr>
        <w:t xml:space="preserve">2026 LSR Update (Land Sector and Removals):</w:t>
      </w:r>
      <w:r>
        <w:t xml:space="preserve"> </w:t>
      </w:r>
      <w:r>
        <w:t xml:space="preserve">The GHG Protocol\'s Land Sector and Removals (LSR) Standard, effective January 1, 2027, provides requirements for accounting for land sector emissions (e.g., land use change, land management, biogenic products) and CO₂ removals. While direct land-use emissions for the "factory-gate" boundary are not a primary focus of this specific PCF, the upstream material acquisition (e.g., agricultural products, forestry products, if applicable to fptsxxnq) would require a detailed LSR assessment. The accompanying Guidance document is expected in Q2 2026. For this PCF, it\'s acknowledged that a full LSR assessment would require specific primary data for land-intensive inputs in the value chain, which was beyond the scope of the provided parameters.</w:t>
      </w:r>
    </w:p>
    <w:p>
      <w:pPr>
        <w:numPr>
          <w:ilvl w:val="0"/>
          <w:numId w:val="1007"/>
        </w:numPr>
        <w:pStyle w:val="Compact"/>
      </w:pPr>
      <w:r>
        <w:rPr>
          <w:bCs/>
          <w:b/>
        </w:rPr>
        <w:t xml:space="preserve">Scope 3 Compliance (95% coverage):</w:t>
      </w:r>
      <w:r>
        <w:t xml:space="preserve"> </w:t>
      </w:r>
      <w:r>
        <w:t xml:space="preserve">The 2026 GHG Protocol updates emphasize a mandatory 95% completeness rule for Scope 3 reporting and the disaggregation of data by source type (primary vs. secondary). This analysis aims for comprehensive coverage of relevant Scope 3 categories based on the provided (illustrative) data. The reliance on secondary (industry-average) emission factors highlights the ongoing need for improved primary data collection from the supply chain to meet future requirements for disaggregated reporting and enhanced data quality.</w:t>
      </w:r>
    </w:p>
    <w:p>
      <w:pPr>
        <w:numPr>
          <w:ilvl w:val="0"/>
          <w:numId w:val="1007"/>
        </w:numPr>
        <w:pStyle w:val="Compact"/>
      </w:pPr>
      <w:r>
        <w:rPr>
          <w:bCs/>
          <w:b/>
        </w:rPr>
        <w:t xml:space="preserve">New Category 16:</w:t>
      </w:r>
      <w:r>
        <w:t xml:space="preserve"> </w:t>
      </w:r>
      <w:r>
        <w:t xml:space="preserve">A new Scope 3 Category 16 ("Beyond Physical Ownership") is proposed to cover other value chain activities not covered by Categories 1-15, such as facilitated emissions. While not directly applicable to the current parameters, oiiyrweirj should consider this category for future, broader PCF analyses if "vuziwjtjuy" or its associated services involve such activities.</w:t>
      </w:r>
    </w:p>
    <w:p>
      <w:r>
        <w:pict>
          <v:rect style="width:0;height:1.5pt" o:hralign="center" o:hrstd="t" o:hr="t"/>
        </w:pict>
      </w:r>
    </w:p>
    <w:bookmarkEnd w:id="36"/>
    <w:bookmarkEnd w:id="37"/>
    <w:bookmarkStart w:id="40"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Analysis of the PCF for "vuziwjtjuy" reveals the following emission hotspots:</w:t>
      </w:r>
    </w:p>
    <w:p>
      <w:pPr>
        <w:numPr>
          <w:ilvl w:val="0"/>
          <w:numId w:val="1008"/>
        </w:numPr>
        <w:pStyle w:val="Compact"/>
      </w:pPr>
      <w:r>
        <w:rPr>
          <w:bCs/>
          <w:b/>
        </w:rPr>
        <w:t xml:space="preserve">Transport &amp; Distribution (43.9%):</w:t>
      </w:r>
      <w:r>
        <w:t xml:space="preserve"> </w:t>
      </w:r>
      <w:r>
        <w:t xml:space="preserve">This stage, particularly last-mile delivery and general freight, represents the largest contributor to the overall PCF. This highlights opportunities for optimizing logistics routes, shifting to lower-emission transport modes, and improving vehicle efficiency.</w:t>
      </w:r>
    </w:p>
    <w:p>
      <w:pPr>
        <w:numPr>
          <w:ilvl w:val="0"/>
          <w:numId w:val="1008"/>
        </w:numPr>
        <w:pStyle w:val="Compact"/>
      </w:pPr>
      <w:r>
        <w:rPr>
          <w:bCs/>
          <w:b/>
        </w:rPr>
        <w:t xml:space="preserve">Product Use Phase (31.0%):</w:t>
      </w:r>
      <w:r>
        <w:t xml:space="preserve"> </w:t>
      </w:r>
      <w:r>
        <w:t xml:space="preserve">The energy consumption during the 3-year lifespan of the product is a significant hotspot. Improving energy efficiency of the product and encouraging use in regions with lower-carbon electricity grids would substantially reduce this impact.</w:t>
      </w:r>
    </w:p>
    <w:p>
      <w:pPr>
        <w:numPr>
          <w:ilvl w:val="0"/>
          <w:numId w:val="1008"/>
        </w:numPr>
        <w:pStyle w:val="Compact"/>
      </w:pPr>
      <w:r>
        <w:rPr>
          <w:bCs/>
          <w:b/>
        </w:rPr>
        <w:t xml:space="preserve">Material Acquisition &amp; Pre-processing (20.3%):</w:t>
      </w:r>
      <w:r>
        <w:t xml:space="preserve"> </w:t>
      </w:r>
      <w:r>
        <w:t xml:space="preserve">The production of virgin materials like plastics, aluminum, and electronic components contributes substantially. Shifting to recycled content, bio-based materials, or materials with lower embodied carbon will be crucial.</w:t>
      </w:r>
    </w:p>
    <w:p>
      <w:pPr>
        <w:numPr>
          <w:ilvl w:val="0"/>
          <w:numId w:val="1008"/>
        </w:numPr>
        <w:pStyle w:val="Compact"/>
      </w:pPr>
      <w:r>
        <w:rPr>
          <w:bCs/>
          <w:b/>
        </w:rPr>
        <w:t xml:space="preserve">Manufacturing / Production (4.3%):</w:t>
      </w:r>
      <w:r>
        <w:t xml:space="preserve"> </w:t>
      </w:r>
      <w:r>
        <w:t xml:space="preserve">While lower than other stages, the purchased electricity in the China-based manufacturing still contributes. Increasing the use of certified renewable energy beyond the current 60% and improving energy efficiency at the production facility can further reduce this.</w:t>
      </w:r>
    </w:p>
    <w:p>
      <w:pPr>
        <w:numPr>
          <w:ilvl w:val="0"/>
          <w:numId w:val="1008"/>
        </w:numPr>
        <w:pStyle w:val="Compact"/>
      </w:pPr>
      <w:r>
        <w:rPr>
          <w:bCs/>
          <w:b/>
        </w:rPr>
        <w:t xml:space="preserve">End-of-Life (0.5%):</w:t>
      </w:r>
      <w:r>
        <w:t xml:space="preserve"> </w:t>
      </w:r>
      <w:r>
        <w:t xml:space="preserve">Although a smaller contributor in terms of direct emissions, the effectiveness of take-back and recycling programs is key to realizing avoided emissions benefits from virgin material displacement.</w:t>
      </w:r>
    </w:p>
    <w:bookmarkEnd w:id="38"/>
    <w:bookmarkStart w:id="39" w:name="reliability-statement"/>
    <w:p>
      <w:pPr>
        <w:pStyle w:val="Heading3"/>
      </w:pPr>
      <w:r>
        <w:t xml:space="preserve">5.2. Reliability Statement</w:t>
      </w:r>
    </w:p>
    <w:p>
      <w:pPr>
        <w:pStyle w:val="FirstParagraph"/>
      </w:pPr>
      <w:r>
        <w:t xml:space="preserve">The reliability of this Product Carbon Footprint analysis is directly influenced by the quality and specificity of the input data.</w:t>
      </w:r>
    </w:p>
    <w:p>
      <w:pPr>
        <w:numPr>
          <w:ilvl w:val="0"/>
          <w:numId w:val="1009"/>
        </w:numPr>
        <w:pStyle w:val="Compact"/>
      </w:pPr>
      <w:r>
        <w:rPr>
          <w:bCs/>
          <w:b/>
        </w:rPr>
        <w:t xml:space="preserve">Data Sources:</w:t>
      </w:r>
      <w:r>
        <w:t xml:space="preserve"> </w:t>
      </w:r>
      <w:r>
        <w:t xml:space="preserve">This report utilized a combination of specific parameters provided by oiiyrweirj (e.g., BOM format, energy usage, lifespan) and illustrative industry-average emission factors from reputable sources like DEFRA and general values aligned with Ecoinvent for materials, transport, and energy (for China and Europe).</w:t>
      </w:r>
    </w:p>
    <w:p>
      <w:pPr>
        <w:numPr>
          <w:ilvl w:val="0"/>
          <w:numId w:val="1009"/>
        </w:numPr>
        <w:pStyle w:val="Compact"/>
      </w:pPr>
      <w:r>
        <w:rPr>
          <w:bCs/>
          <w:b/>
        </w:rPr>
        <w:t xml:space="preserve">Assumptions:</w:t>
      </w:r>
      <w:r>
        <w:t xml:space="preserve"> </w:t>
      </w:r>
      <w:r>
        <w:t xml:space="preserve">Where specific data for "fptsxxnq", "tkqgmvprdq", "petlguvjyh", "vnpqeduius", "zdtrdswykh", "xukeefksge", "pvggykdriu", "edidrkkmji", "Select Mode", "Delivery Type" were provided as placeholders, illustrative values and corresponding industry-average emission factors have been assumed for the purpose of this calculation. These assumptions are clearly indicated throughout the report. Improved accuracy would be achieved with primary, supplier-specific data for all material inputs, transport, and energy consumption.</w:t>
      </w:r>
    </w:p>
    <w:p>
      <w:pPr>
        <w:numPr>
          <w:ilvl w:val="0"/>
          <w:numId w:val="1009"/>
        </w:numPr>
        <w:pStyle w:val="Compact"/>
      </w:pPr>
      <w:r>
        <w:rPr>
          <w:bCs/>
          <w:b/>
        </w:rPr>
        <w:t xml:space="preserve">Methodological Adherence:</w:t>
      </w:r>
      <w:r>
        <w:t xml:space="preserve"> </w:t>
      </w:r>
      <w:r>
        <w:t xml:space="preserve">The methodology adheres to the GHG Protocol\'s Corporate Value Chain (Scope 3) Accounting and Reporting Standard, including the latest considerations for the 2026 LSR and Scope 3 updates.</w:t>
      </w:r>
    </w:p>
    <w:p>
      <w:pPr>
        <w:numPr>
          <w:ilvl w:val="0"/>
          <w:numId w:val="1009"/>
        </w:numPr>
        <w:pStyle w:val="Compact"/>
      </w:pPr>
      <w:r>
        <w:rPr>
          <w:bCs/>
          <w:b/>
        </w:rPr>
        <w:t xml:space="preserve">Completeness:</w:t>
      </w:r>
      <w:r>
        <w:t xml:space="preserve"> </w:t>
      </w:r>
      <w:r>
        <w:t xml:space="preserve">While every effort has been made to cover all relevant life cycle stages and Scope 3 categories as per the "factory-gate" to "grave" boundary, a full 95% Scope 3 coverage (as per 2026 requirements) would necessitate even more granular, primary data from all value chain partners.</w:t>
      </w:r>
    </w:p>
    <w:p>
      <w:pPr>
        <w:pStyle w:val="FirstParagraph"/>
      </w:pPr>
      <w:r>
        <w:t xml:space="preserve">This report serves as a foundational analysis. For enhanced accuracy and to meet evolving reporting standards, oiiyrweirj is recommended to pursue further primary data collection and engagement with its supply chain to replace illustrative data with verifiable, activity-based figures.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vuziwjtjuy</dc:title>
  <dc:creator/>
  <dc:description>Detailed Product Carbon Footprint (PCF) analysis report for product vuziwjtjuy, following GHG Protocol standards and 2026 updates, prepared by Senior Sustainability Consultant opfgvzleop for oiiyrweirj.</dc:description>
  <dc:language>en</dc:language>
  <cp:keywords/>
  <dcterms:created xsi:type="dcterms:W3CDTF">2026-07-15T11:40:10Z</dcterms:created>
  <dcterms:modified xsi:type="dcterms:W3CDTF">2026-07-15T11:40:10Z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