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vutttuwvkx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utttuwvkx"/>
    <w:p>
      <w:pPr>
        <w:pStyle w:val="Heading2"/>
      </w:pPr>
      <w:r>
        <w:t xml:space="preserve">Product: vutttuwvkx</w:t>
      </w:r>
    </w:p>
    <w:p>
      <w:pPr>
        <w:pStyle w:val="FirstParagraph"/>
      </w:pPr>
      <w:r>
        <w:t xml:space="preserve">**Protocol Data (Accounting Standard):** GHG Protocol</w:t>
      </w:r>
    </w:p>
    <w:p>
      <w:pPr>
        <w:pStyle w:val="BodyText"/>
      </w:pPr>
      <w:r>
        <w:t xml:space="preserve">**Name of the Company:** fqiqwrikfj</w:t>
      </w:r>
    </w:p>
    <w:p>
      <w:pPr>
        <w:pStyle w:val="BodyText"/>
      </w:pPr>
      <w:r>
        <w:t xml:space="preserve">**Senior Sustainability Consultant:** mjprdrunwh</w:t>
      </w:r>
    </w:p>
    <w:p>
      <w:pPr>
        <w:pStyle w:val="BodyText"/>
      </w:pPr>
      <w:r>
        <w:t xml:space="preserve">*Disclaimer: This report is generated based on available data and industry standards, incorporating specific parameters provided. Assumptions have been made for placeholder data where explicit values were not supplied.*</w:t>
      </w:r>
    </w:p>
    <w:bookmarkEnd w:id="20"/>
    <w:bookmarkEnd w:id="21"/>
    <w:bookmarkStart w:id="22" w:name="X7fc8888dd32ef82269217136b35e24fb5464115"/>
    <w:p>
      <w:pPr>
        <w:pStyle w:val="Heading1"/>
      </w:pPr>
      <w:r>
        <w:t xml:space="preserve">Product Carbon Footprint Analysis for vutttuwvkx</w:t>
      </w:r>
    </w:p>
    <w:p>
      <w:pPr>
        <w:pStyle w:val="FirstParagraph"/>
      </w:pPr>
      <w:r>
        <w:rPr>
          <w:bCs/>
          <w:b/>
        </w:rPr>
        <w:t xml:space="preserve">Generated Date:</w:t>
      </w:r>
      <w:r>
        <w:t xml:space="preserve"> </w:t>
      </w:r>
      <w:r>
        <w:t xml:space="preserve">Wednesday, May 20, 2026</w:t>
      </w:r>
    </w:p>
    <w:p>
      <w:pPr>
        <w:pStyle w:val="BodyText"/>
      </w:pPr>
      <w:r>
        <w:rPr>
          <w:bCs/>
          <w:b/>
        </w:rPr>
        <w:t xml:space="preserve">Senior Sustainability Consultant:</w:t>
      </w:r>
      <w:r>
        <w:t xml:space="preserve"> </w:t>
      </w:r>
      <w:r>
        <w:t xml:space="preserve">mjprdrunwh</w:t>
      </w:r>
    </w:p>
    <w:p>
      <w:pPr>
        <w:pStyle w:val="BodyText"/>
      </w:pPr>
      <w:r>
        <w:rPr>
          <w:bCs/>
          <w:b/>
        </w:rPr>
        <w:t xml:space="preserve">Company:</w:t>
      </w:r>
      <w:r>
        <w:t xml:space="preserve"> </w:t>
      </w:r>
      <w:r>
        <w:t xml:space="preserve">fqiqwrikfj</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vutttuwvkx, manufactured by fqiqwrikfj. The analysis adheres strictly to the GHG Protocol accounting standard, incorporating both Scope 1 (direct), Scope 2 (purchased energy), and Scope 3 (value chain) emissions. Special consideration has been given to the 2026 Land Sector and Removals (LSR) Standard update and ensuring at least 95% coverage for Scope 3 reporting, as per upcoming requirements. The PCF quantifies the total greenhouse gas emissions across the product\'s lifecycle, from material acquisition to end-of-life, providing critical insights into environmental hotspots for strategic decarbonization efforts.</w:t>
      </w:r>
    </w:p>
    <w:bookmarkEnd w:id="23"/>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Product Carbon Footprint (PCF) for vutttuwvkx was calculated following a five-step methodology in accordance with the GHG Protocol.</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vutttuwvkx</w:t>
      </w:r>
    </w:p>
    <w:bookmarkEnd w:id="24"/>
    <w:bookmarkStart w:id="25"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plus use and end-of-life" boundary encompasses all emissions from raw material extraction, manufacturing, and transport to the factory gate, as well as the use phase and end-of-life treatment.</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transport from China to Europe, and use phase/end-of-life primarily in Europe)</w:t>
      </w:r>
    </w:p>
    <w:bookmarkEnd w:id="26"/>
    <w:bookmarkStart w:id="27" w:name="allocation"/>
    <w:p>
      <w:pPr>
        <w:pStyle w:val="Heading3"/>
      </w:pPr>
      <w:r>
        <w:t xml:space="preserve">1.4. Allocation</w:t>
      </w:r>
    </w:p>
    <w:p>
      <w:pPr>
        <w:numPr>
          <w:ilvl w:val="0"/>
          <w:numId w:val="1004"/>
        </w:numPr>
        <w:pStyle w:val="Compact"/>
      </w:pPr>
      <w:r>
        <w:t xml:space="preserve">Allocation of emissions for co-products or by-products is based on a mass allocation approach where applicable. For recycling, emissions for the recycling process are included, not avoided emissions.</w:t>
      </w:r>
    </w:p>
    <w:bookmarkEnd w:id="27"/>
    <w:bookmarkStart w:id="28" w:name="accounting-standard"/>
    <w:p>
      <w:pPr>
        <w:pStyle w:val="Heading3"/>
      </w:pPr>
      <w:r>
        <w:t xml:space="preserve">1.5. Accounting Standard</w:t>
      </w:r>
    </w:p>
    <w:p>
      <w:pPr>
        <w:numPr>
          <w:ilvl w:val="0"/>
          <w:numId w:val="1005"/>
        </w:numPr>
        <w:pStyle w:val="Compact"/>
      </w:pPr>
      <w:r>
        <w:rPr>
          <w:bCs/>
          <w:b/>
        </w:rPr>
        <w:t xml:space="preserve">Accounting Standard:</w:t>
      </w:r>
      <w:r>
        <w:t xml:space="preserve"> </w:t>
      </w:r>
      <w:r>
        <w:t xml:space="preserve">GHG Protocol, including categorization into Scope 1, Scope 2, and Scope 3 emissions.</w:t>
      </w:r>
    </w:p>
    <w:p>
      <w:pPr>
        <w:numPr>
          <w:ilvl w:val="0"/>
          <w:numId w:val="1005"/>
        </w:numPr>
        <w:pStyle w:val="Compact"/>
      </w:pPr>
      <w:r>
        <w:rPr>
          <w:bCs/>
          <w:b/>
        </w:rPr>
        <w:t xml:space="preserve">2026 LSR Update:</w:t>
      </w:r>
      <w:r>
        <w:t xml:space="preserve"> </w:t>
      </w:r>
      <w:r>
        <w:t xml:space="preserve">The analysis acknowledges and applies principles from the Land Sector and Removals (LSR) Standard for land use and carbon removals, though specific land-use changes directly attributable to vutttuwvkx\'s lifecycle were not identified as primary drivers for this particular product\'s emissions profile within the provided data.</w:t>
      </w:r>
    </w:p>
    <w:p>
      <w:pPr>
        <w:numPr>
          <w:ilvl w:val="0"/>
          <w:numId w:val="1005"/>
        </w:numPr>
        <w:pStyle w:val="Compact"/>
      </w:pPr>
      <w:r>
        <w:rPr>
          <w:bCs/>
          <w:b/>
        </w:rPr>
        <w:t xml:space="preserve">Scope 3 Compliance:</w:t>
      </w:r>
      <w:r>
        <w:t xml:space="preserve"> </w:t>
      </w:r>
      <w:r>
        <w:t xml:space="preserve">All efforts have been made to ensure at least 95% coverage for Scope 3 reporting, reflecting comprehensive value chain emissions.</w:t>
      </w:r>
    </w:p>
    <w:bookmarkEnd w:id="28"/>
    <w:bookmarkEnd w:id="29"/>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The lifecycle of vutttuwvkx has been mapped across key stages, and data collected from provided parameters and industry-standard emission factors.</w:t>
      </w:r>
    </w:p>
    <w:bookmarkStart w:id="30" w:name="X126c3e7d6730cd8a3003e7c4e1bb2a1ae23dcc6"/>
    <w:p>
      <w:pPr>
        <w:pStyle w:val="Heading3"/>
      </w:pPr>
      <w:r>
        <w:t xml:space="preserve">2.1. Bill of Materials (BOM) and Material Inputs</w:t>
      </w:r>
    </w:p>
    <w:p>
      <w:pPr>
        <w:pStyle w:val="FirstParagraph"/>
      </w:pPr>
      <w:r>
        <w:t xml:space="preserve">The detailed Bill of Materials (BOM) provides specific carbon footprints for each component, which are directly used for material impact calculation. The total mass of the product (including assumed mass for electronics) is approximately 1.2 kg, used for transport and end-of-life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P001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Corrugating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bookmarkEnd w:id="30"/>
    <w:bookmarkStart w:id="31" w:name="energy-inputs-production-phase"/>
    <w:p>
      <w:pPr>
        <w:pStyle w:val="Heading3"/>
      </w:pPr>
      <w:r>
        <w:t xml:space="preserve">2.2. Energy Inputs (Production Phase)</w:t>
      </w:r>
    </w:p>
    <w:p>
      <w:pPr>
        <w:numPr>
          <w:ilvl w:val="0"/>
          <w:numId w:val="1006"/>
        </w:numPr>
        <w:pStyle w:val="Compact"/>
      </w:pPr>
      <w:r>
        <w:rPr>
          <w:bCs/>
          <w:b/>
        </w:rPr>
        <w:t xml:space="preserve">Renewable Energy Usage:</w:t>
      </w:r>
      <w:r>
        <w:t xml:space="preserve"> </w:t>
      </w:r>
      <w:r>
        <w:t xml:space="preserve">50% [peowyjivtr]</w:t>
      </w:r>
    </w:p>
    <w:p>
      <w:pPr>
        <w:numPr>
          <w:ilvl w:val="0"/>
          <w:numId w:val="1006"/>
        </w:numPr>
        <w:pStyle w:val="Compact"/>
      </w:pPr>
      <w:r>
        <w:rPr>
          <w:bCs/>
          <w:b/>
        </w:rPr>
        <w:t xml:space="preserve">Energy Intensity (kWh/unit):</w:t>
      </w:r>
      <w:r>
        <w:t xml:space="preserve"> </w:t>
      </w:r>
      <w:r>
        <w:t xml:space="preserve">10 kWh/unit [ewndlqdmiy]</w:t>
      </w:r>
    </w:p>
    <w:p>
      <w:pPr>
        <w:numPr>
          <w:ilvl w:val="0"/>
          <w:numId w:val="1006"/>
        </w:numPr>
        <w:pStyle w:val="Compact"/>
      </w:pPr>
      <w:r>
        <w:rPr>
          <w:bCs/>
          <w:b/>
        </w:rPr>
        <w:t xml:space="preserve">Grid Electricity Emission Factor (China):</w:t>
      </w:r>
      <w:r>
        <w:t xml:space="preserve"> </w:t>
      </w:r>
      <w:r>
        <w:t xml:space="preserve">0.6205 kg CO2e/kWh (national average for 2023)</w:t>
      </w:r>
    </w:p>
    <w:bookmarkEnd w:id="31"/>
    <w:bookmarkStart w:id="32" w:name="logistics-data-transport-phase"/>
    <w:p>
      <w:pPr>
        <w:pStyle w:val="Heading3"/>
      </w:pPr>
      <w:r>
        <w:t xml:space="preserve">2.3. Logistics Data (Transport Phase)</w:t>
      </w:r>
    </w:p>
    <w:p>
      <w:pPr>
        <w:numPr>
          <w:ilvl w:val="0"/>
          <w:numId w:val="1007"/>
        </w:numPr>
        <w:pStyle w:val="Compact"/>
      </w:pPr>
      <w:r>
        <w:rPr>
          <w:bCs/>
          <w:b/>
        </w:rPr>
        <w:t xml:space="preserve">Product Mass for Transport:</w:t>
      </w:r>
      <w:r>
        <w:t xml:space="preserve"> </w:t>
      </w:r>
      <w:r>
        <w:t xml:space="preserve">1.2 kg (calculated from BOM kg components + assumed 0.1kg for circuit board)</w:t>
      </w:r>
    </w:p>
    <w:p>
      <w:pPr>
        <w:numPr>
          <w:ilvl w:val="0"/>
          <w:numId w:val="1007"/>
        </w:numPr>
        <w:pStyle w:val="Compact"/>
      </w:pPr>
      <w:r>
        <w:rPr>
          <w:bCs/>
          <w:b/>
        </w:rPr>
        <w:t xml:space="preserve">Primary Transport Mode:</w:t>
      </w:r>
      <w:r>
        <w:t xml:space="preserve"> </w:t>
      </w:r>
      <w:r>
        <w:t xml:space="preserve">Sea Freight (China to Europe)</w:t>
      </w:r>
    </w:p>
    <w:p>
      <w:pPr>
        <w:numPr>
          <w:ilvl w:val="0"/>
          <w:numId w:val="1007"/>
        </w:numPr>
        <w:pStyle w:val="Compact"/>
      </w:pPr>
      <w:r>
        <w:rPr>
          <w:bCs/>
          <w:b/>
        </w:rPr>
        <w:t xml:space="preserve">Primary Transport Distance:</w:t>
      </w:r>
      <w:r>
        <w:t xml:space="preserve"> </w:t>
      </w:r>
      <w:r>
        <w:t xml:space="preserve">15,000 km [osjjqkjvsw - assumed for placeholder]</w:t>
      </w:r>
    </w:p>
    <w:p>
      <w:pPr>
        <w:numPr>
          <w:ilvl w:val="0"/>
          <w:numId w:val="1007"/>
        </w:numPr>
        <w:pStyle w:val="Compact"/>
      </w:pPr>
      <w:r>
        <w:rPr>
          <w:bCs/>
          <w:b/>
        </w:rPr>
        <w:t xml:space="preserve">Sea Freight Emission Factor (Container Ship):</w:t>
      </w:r>
      <w:r>
        <w:t xml:space="preserve"> </w:t>
      </w:r>
      <w:r>
        <w:t xml:space="preserve">0.01 kg CO2e/tonne-km</w:t>
      </w:r>
    </w:p>
    <w:p>
      <w:pPr>
        <w:numPr>
          <w:ilvl w:val="0"/>
          <w:numId w:val="1007"/>
        </w:numPr>
        <w:pStyle w:val="Compact"/>
      </w:pPr>
      <w:r>
        <w:rPr>
          <w:bCs/>
          <w:b/>
        </w:rPr>
        <w:t xml:space="preserve">Last-Mile Delivery Channel:</w:t>
      </w:r>
      <w:r>
        <w:t xml:space="preserve"> </w:t>
      </w:r>
      <w:r>
        <w:t xml:space="preserve">Road Freight (Light Commercial Vehicle) [Delivery Type - assumed]</w:t>
      </w:r>
    </w:p>
    <w:p>
      <w:pPr>
        <w:numPr>
          <w:ilvl w:val="0"/>
          <w:numId w:val="1007"/>
        </w:numPr>
        <w:pStyle w:val="Compact"/>
      </w:pPr>
      <w:r>
        <w:rPr>
          <w:bCs/>
          <w:b/>
        </w:rPr>
        <w:t xml:space="preserve">Last-Mile Delivery Distance:</w:t>
      </w:r>
      <w:r>
        <w:t xml:space="preserve"> </w:t>
      </w:r>
      <w:r>
        <w:t xml:space="preserve">500 km (assumed for placeholder)</w:t>
      </w:r>
    </w:p>
    <w:p>
      <w:pPr>
        <w:numPr>
          <w:ilvl w:val="0"/>
          <w:numId w:val="1007"/>
        </w:numPr>
        <w:pStyle w:val="Compact"/>
      </w:pPr>
      <w:r>
        <w:rPr>
          <w:bCs/>
          <w:b/>
        </w:rPr>
        <w:t xml:space="preserve">Road Freight Emission Factor (Light Commercial Vehicle):</w:t>
      </w:r>
      <w:r>
        <w:t xml:space="preserve"> </w:t>
      </w:r>
      <w:r>
        <w:t xml:space="preserve">0.062 kg CO2e/tonne-km</w:t>
      </w:r>
    </w:p>
    <w:bookmarkEnd w:id="32"/>
    <w:bookmarkStart w:id="33" w:name="X573902256cc2f74e26e617194401be4eceb9979"/>
    <w:p>
      <w:pPr>
        <w:pStyle w:val="Heading3"/>
      </w:pPr>
      <w:r>
        <w:t xml:space="preserve">2.4. Durability and Consumption Data (Use Phase)</w:t>
      </w:r>
    </w:p>
    <w:p>
      <w:pPr>
        <w:numPr>
          <w:ilvl w:val="0"/>
          <w:numId w:val="1008"/>
        </w:numPr>
        <w:pStyle w:val="Compact"/>
      </w:pPr>
      <w:r>
        <w:rPr>
          <w:bCs/>
          <w:b/>
        </w:rPr>
        <w:t xml:space="preserve">Product Lifespan:</w:t>
      </w:r>
      <w:r>
        <w:t xml:space="preserve"> </w:t>
      </w:r>
      <w:r>
        <w:t xml:space="preserve">5 years [mwhenzzqyi]</w:t>
      </w:r>
    </w:p>
    <w:p>
      <w:pPr>
        <w:numPr>
          <w:ilvl w:val="0"/>
          <w:numId w:val="1008"/>
        </w:numPr>
        <w:pStyle w:val="Compact"/>
      </w:pPr>
      <w:r>
        <w:rPr>
          <w:bCs/>
          <w:b/>
        </w:rPr>
        <w:t xml:space="preserve">Energy Consumption in Use:</w:t>
      </w:r>
      <w:r>
        <w:t xml:space="preserve"> </w:t>
      </w:r>
      <w:r>
        <w:t xml:space="preserve">20 kWh/year [wgzljkpgkw]</w:t>
      </w:r>
    </w:p>
    <w:p>
      <w:pPr>
        <w:numPr>
          <w:ilvl w:val="0"/>
          <w:numId w:val="1008"/>
        </w:numPr>
        <w:pStyle w:val="Compact"/>
      </w:pPr>
      <w:r>
        <w:rPr>
          <w:bCs/>
          <w:b/>
        </w:rPr>
        <w:t xml:space="preserve">Grid Electricity Emission Factor (EU Average):</w:t>
      </w:r>
      <w:r>
        <w:t xml:space="preserve"> </w:t>
      </w:r>
      <w:r>
        <w:t xml:space="preserve">0.238 kg CO2e/kWh</w:t>
      </w:r>
    </w:p>
    <w:bookmarkEnd w:id="33"/>
    <w:bookmarkStart w:id="34"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70% [fhitrsgnkv]</w:t>
      </w:r>
    </w:p>
    <w:p>
      <w:pPr>
        <w:numPr>
          <w:ilvl w:val="0"/>
          <w:numId w:val="1009"/>
        </w:numPr>
        <w:pStyle w:val="Compact"/>
      </w:pPr>
      <w:r>
        <w:rPr>
          <w:bCs/>
          <w:b/>
        </w:rPr>
        <w:t xml:space="preserve">Circular/Take-back Programs:</w:t>
      </w:r>
      <w:r>
        <w:t xml:space="preserve"> </w:t>
      </w:r>
      <w:r>
        <w:t xml:space="preserve">Yes, established take-back program [pxsdoxypsm]</w:t>
      </w:r>
    </w:p>
    <w:p>
      <w:pPr>
        <w:numPr>
          <w:ilvl w:val="0"/>
          <w:numId w:val="1009"/>
        </w:numPr>
        <w:pStyle w:val="Compact"/>
      </w:pPr>
      <w:r>
        <w:rPr>
          <w:bCs/>
          <w:b/>
        </w:rPr>
        <w:t xml:space="preserve">Product Mass Recycled:</w:t>
      </w:r>
      <w:r>
        <w:t xml:space="preserve"> </w:t>
      </w:r>
      <w:r>
        <w:t xml:space="preserve">0.77 kg (70% of 1.1 kg, assuming packaging is part of total mass for EoL, excluding the circuit board which is often handled separately)</w:t>
      </w:r>
    </w:p>
    <w:p>
      <w:pPr>
        <w:numPr>
          <w:ilvl w:val="0"/>
          <w:numId w:val="1009"/>
        </w:numPr>
        <w:pStyle w:val="Compact"/>
      </w:pPr>
      <w:r>
        <w:rPr>
          <w:bCs/>
          <w:b/>
        </w:rPr>
        <w:t xml:space="preserve">Product Mass to Landfill:</w:t>
      </w:r>
      <w:r>
        <w:t xml:space="preserve"> </w:t>
      </w:r>
      <w:r>
        <w:t xml:space="preserve">0.33 kg (30% of 1.1 kg, remaining mass for general waste after recycling)</w:t>
      </w:r>
    </w:p>
    <w:p>
      <w:pPr>
        <w:numPr>
          <w:ilvl w:val="0"/>
          <w:numId w:val="1009"/>
        </w:numPr>
        <w:pStyle w:val="Compact"/>
      </w:pPr>
      <w:r>
        <w:rPr>
          <w:bCs/>
          <w:b/>
        </w:rPr>
        <w:t xml:space="preserve">Emission Factor for Recycling (Mixed Recyclables):</w:t>
      </w:r>
      <w:r>
        <w:t xml:space="preserve"> </w:t>
      </w:r>
      <w:r>
        <w:t xml:space="preserve">0.099 kg CO2e/kg (for the recycling process itself)</w:t>
      </w:r>
    </w:p>
    <w:p>
      <w:pPr>
        <w:numPr>
          <w:ilvl w:val="0"/>
          <w:numId w:val="1009"/>
        </w:numPr>
        <w:pStyle w:val="Compact"/>
      </w:pPr>
      <w:r>
        <w:rPr>
          <w:bCs/>
          <w:b/>
        </w:rPr>
        <w:t xml:space="preserve">Emission Factor for Landfill (Mixed Waste):</w:t>
      </w:r>
      <w:r>
        <w:t xml:space="preserve"> </w:t>
      </w:r>
      <w:r>
        <w:t xml:space="preserve">0.75 kg CO2e/kg (for mixed waste to landfill)</w:t>
      </w:r>
    </w:p>
    <w:bookmarkEnd w:id="34"/>
    <w:bookmarkEnd w:id="35"/>
    <w:p>
      <w:r>
        <w:pict>
          <v:rect style="width:0;height:1.5pt" o:hralign="center" o:hrstd="t" o:hr="t"/>
        </w:pict>
      </w:r>
    </w:p>
    <w:bookmarkStart w:id="46" w:name="emissions-calculation"/>
    <w:p>
      <w:pPr>
        <w:pStyle w:val="Heading2"/>
      </w:pPr>
      <w:r>
        <w:t xml:space="preserve">4. Emissions Calculation</w:t>
      </w:r>
    </w:p>
    <w:p>
      <w:pPr>
        <w:pStyle w:val="FirstParagraph"/>
      </w:pPr>
      <w:r>
        <w:t xml:space="preserve">Emissions are calculated using the formula: Activity Data × Emission Factor = CO2e, and categorized according to the GHG Protocol. All figures are in kg CO2e.</w:t>
      </w:r>
    </w:p>
    <w:bookmarkStart w:id="38" w:name="scope-3-upstream-emissions-value-chain"/>
    <w:p>
      <w:pPr>
        <w:pStyle w:val="Heading3"/>
      </w:pPr>
      <w:r>
        <w:t xml:space="preserve">4.1. Scope 3: Upstream Emissions (Value Chain)</w:t>
      </w:r>
    </w:p>
    <w:bookmarkStart w:id="36" w:name="Xe0ac96a1e8a24ab825931d79d65a114ba0aea01"/>
    <w:p>
      <w:pPr>
        <w:pStyle w:val="Heading4"/>
      </w:pPr>
      <w:r>
        <w:t xml:space="preserve">4.1.1. Materials Acquisition &amp; Pre-processing (Category 1: Purchased Goods and Services)</w:t>
      </w:r>
    </w:p>
    <w:p>
      <w:pPr>
        <w:pStyle w:val="FirstParagraph"/>
      </w:pPr>
      <w:r>
        <w:t xml:space="preserve">Emissions from raw material extraction and processing are directly taken from the provided "Total Carbon"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6.25</w:t>
            </w:r>
          </w:p>
        </w:tc>
      </w:tr>
      <w:tr>
        <w:tc>
          <w:tcPr/>
          <w:p>
            <w:pPr>
              <w:pStyle w:val="Compact"/>
              <w:jc w:val="left"/>
            </w:pPr>
            <w:r>
              <w:t xml:space="preserve">Plastic Housing</w:t>
            </w:r>
          </w:p>
        </w:tc>
        <w:tc>
          <w:tcPr/>
          <w:p>
            <w:pPr>
              <w:pStyle w:val="Compact"/>
              <w:jc w:val="left"/>
            </w:pPr>
            <w:r>
              <w:t xml:space="preserve">0.9</w:t>
            </w:r>
          </w:p>
        </w:tc>
      </w:tr>
      <w:tr>
        <w:tc>
          <w:tcPr/>
          <w:p>
            <w:pPr>
              <w:pStyle w:val="Compact"/>
              <w:jc w:val="left"/>
            </w:pPr>
            <w:r>
              <w:t xml:space="preserve">Circuit Board</w:t>
            </w:r>
          </w:p>
        </w:tc>
        <w:tc>
          <w:tcPr/>
          <w:p>
            <w:pPr>
              <w:pStyle w:val="Compact"/>
              <w:jc w:val="left"/>
            </w:pPr>
            <w:r>
              <w:t xml:space="preserve">5.0</w:t>
            </w:r>
          </w:p>
        </w:tc>
      </w:tr>
      <w:tr>
        <w:tc>
          <w:tcPr/>
          <w:p>
            <w:pPr>
              <w:pStyle w:val="Compact"/>
              <w:jc w:val="left"/>
            </w:pPr>
            <w:r>
              <w:t xml:space="preserve">Copper Wiring</w:t>
            </w:r>
          </w:p>
        </w:tc>
        <w:tc>
          <w:tcPr/>
          <w:p>
            <w:pPr>
              <w:pStyle w:val="Compact"/>
              <w:jc w:val="left"/>
            </w:pPr>
            <w:r>
              <w:t xml:space="preserve">0.4</w:t>
            </w:r>
          </w:p>
        </w:tc>
      </w:tr>
      <w:tr>
        <w:tc>
          <w:tcPr/>
          <w:p>
            <w:pPr>
              <w:pStyle w:val="Compact"/>
              <w:jc w:val="left"/>
            </w:pPr>
            <w:r>
              <w:t xml:space="preserve">Cardboard Packaging</w:t>
            </w:r>
          </w:p>
        </w:tc>
        <w:tc>
          <w:tcPr/>
          <w:p>
            <w:pPr>
              <w:pStyle w:val="Compact"/>
              <w:jc w:val="left"/>
            </w:pPr>
            <w:r>
              <w:t xml:space="preserve">0.2</w:t>
            </w:r>
          </w:p>
        </w:tc>
      </w:tr>
      <w:tr>
        <w:tc>
          <w:tcPr/>
          <w:p>
            <w:pPr>
              <w:pStyle w:val="Compact"/>
              <w:jc w:val="left"/>
            </w:pPr>
            <w:r>
              <w:rPr>
                <w:bCs/>
                <w:b/>
              </w:rPr>
              <w:t xml:space="preserve">Subtotal Materials</w:t>
            </w:r>
          </w:p>
        </w:tc>
        <w:tc>
          <w:tcPr/>
          <w:p>
            <w:pPr>
              <w:pStyle w:val="Compact"/>
              <w:jc w:val="left"/>
            </w:pPr>
            <w:r>
              <w:rPr>
                <w:bCs/>
                <w:b/>
              </w:rPr>
              <w:t xml:space="preserve">12.75</w:t>
            </w:r>
          </w:p>
        </w:tc>
      </w:tr>
    </w:tbl>
    <w:bookmarkEnd w:id="36"/>
    <w:bookmarkStart w:id="37" w:name="X1ba14597aa58affb2f1bc7a69940c64f4addd9d"/>
    <w:p>
      <w:pPr>
        <w:pStyle w:val="Heading4"/>
      </w:pPr>
      <w:r>
        <w:t xml:space="preserve">4.1.2. Upstream Transportation and Distribution (Category 4)</w:t>
      </w:r>
    </w:p>
    <w:p>
      <w:pPr>
        <w:numPr>
          <w:ilvl w:val="0"/>
          <w:numId w:val="1010"/>
        </w:numPr>
        <w:pStyle w:val="Compact"/>
      </w:pPr>
      <w:r>
        <w:rPr>
          <w:bCs/>
          <w:b/>
        </w:rPr>
        <w:t xml:space="preserve">Primary Transport (Sea Freight):</w:t>
      </w:r>
    </w:p>
    <w:p>
      <w:pPr>
        <w:numPr>
          <w:ilvl w:val="1"/>
          <w:numId w:val="1011"/>
        </w:numPr>
        <w:pStyle w:val="Compact"/>
      </w:pPr>
      <w:r>
        <w:t xml:space="preserve">Product Weight: 1.2 kg = 0.0012 tonnes</w:t>
      </w:r>
    </w:p>
    <w:p>
      <w:pPr>
        <w:numPr>
          <w:ilvl w:val="1"/>
          <w:numId w:val="1011"/>
        </w:numPr>
        <w:pStyle w:val="Compact"/>
      </w:pPr>
      <w:r>
        <w:t xml:space="preserve">Distance: 15,000 km</w:t>
      </w:r>
    </w:p>
    <w:p>
      <w:pPr>
        <w:numPr>
          <w:ilvl w:val="1"/>
          <w:numId w:val="1011"/>
        </w:numPr>
        <w:pStyle w:val="Compact"/>
      </w:pPr>
      <w:r>
        <w:t xml:space="preserve">Emission Factor: 0.01 kg CO2e/tonne-km</w:t>
      </w:r>
    </w:p>
    <w:p>
      <w:pPr>
        <w:numPr>
          <w:ilvl w:val="1"/>
          <w:numId w:val="1011"/>
        </w:numPr>
        <w:pStyle w:val="Compact"/>
      </w:pPr>
      <w:r>
        <w:t xml:space="preserve">Calculation: 0.0012 tonnes * 15,000 km * 0.01 kg CO2e/tonne-km =</w:t>
      </w:r>
      <w:r>
        <w:t xml:space="preserve"> </w:t>
      </w:r>
      <w:r>
        <w:rPr>
          <w:bCs/>
          <w:b/>
        </w:rPr>
        <w:t xml:space="preserve">0.18 kg CO2e</w:t>
      </w:r>
    </w:p>
    <w:p>
      <w:pPr>
        <w:numPr>
          <w:ilvl w:val="0"/>
          <w:numId w:val="1010"/>
        </w:numPr>
        <w:pStyle w:val="Compact"/>
      </w:pPr>
      <w:r>
        <w:rPr>
          <w:bCs/>
          <w:b/>
        </w:rPr>
        <w:t xml:space="preserve">Last-Mile Delivery (Road Freight):</w:t>
      </w:r>
    </w:p>
    <w:p>
      <w:pPr>
        <w:numPr>
          <w:ilvl w:val="1"/>
          <w:numId w:val="1012"/>
        </w:numPr>
        <w:pStyle w:val="Compact"/>
      </w:pPr>
      <w:r>
        <w:t xml:space="preserve">Product Weight: 1.2 kg = 0.0012 tonnes</w:t>
      </w:r>
    </w:p>
    <w:p>
      <w:pPr>
        <w:numPr>
          <w:ilvl w:val="1"/>
          <w:numId w:val="1012"/>
        </w:numPr>
        <w:pStyle w:val="Compact"/>
      </w:pPr>
      <w:r>
        <w:t xml:space="preserve">Distance: 500 km</w:t>
      </w:r>
    </w:p>
    <w:p>
      <w:pPr>
        <w:numPr>
          <w:ilvl w:val="1"/>
          <w:numId w:val="1012"/>
        </w:numPr>
        <w:pStyle w:val="Compact"/>
      </w:pPr>
      <w:r>
        <w:t xml:space="preserve">Emission Factor: 0.062 kg CO2e/tonne-km</w:t>
      </w:r>
    </w:p>
    <w:p>
      <w:pPr>
        <w:numPr>
          <w:ilvl w:val="1"/>
          <w:numId w:val="1012"/>
        </w:numPr>
        <w:pStyle w:val="Compact"/>
      </w:pPr>
      <w:r>
        <w:t xml:space="preserve">Calculation: 0.0012 tonnes * 500 km * 0.062 kg CO2e/tonne-km =</w:t>
      </w:r>
      <w:r>
        <w:t xml:space="preserve"> </w:t>
      </w:r>
      <w:r>
        <w:rPr>
          <w:bCs/>
          <w:b/>
        </w:rPr>
        <w:t xml:space="preserve">0.0372 kg CO2e</w:t>
      </w:r>
    </w:p>
    <w:p>
      <w:pPr>
        <w:numPr>
          <w:ilvl w:val="0"/>
          <w:numId w:val="1010"/>
        </w:numPr>
        <w:pStyle w:val="Compact"/>
      </w:pPr>
      <w:r>
        <w:rPr>
          <w:bCs/>
          <w:b/>
        </w:rPr>
        <w:t xml:space="preserve">Subtotal Upstream Transport:</w:t>
      </w:r>
      <w:r>
        <w:t xml:space="preserve"> </w:t>
      </w:r>
      <w:r>
        <w:t xml:space="preserve">0.18 + 0.0372 =</w:t>
      </w:r>
      <w:r>
        <w:t xml:space="preserve"> </w:t>
      </w:r>
      <w:r>
        <w:rPr>
          <w:bCs/>
          <w:b/>
        </w:rPr>
        <w:t xml:space="preserve">0.2172 kg CO2e</w:t>
      </w:r>
    </w:p>
    <w:bookmarkEnd w:id="37"/>
    <w:bookmarkEnd w:id="38"/>
    <w:bookmarkStart w:id="41" w:name="production-phase-emissions"/>
    <w:p>
      <w:pPr>
        <w:pStyle w:val="Heading3"/>
      </w:pPr>
      <w:r>
        <w:t xml:space="preserve">4.2. Production Phase Emissions</w:t>
      </w:r>
    </w:p>
    <w:bookmarkStart w:id="39" w:name="X2cddc177f70b4bf740d6fad9438a0e623ec5b7f"/>
    <w:p>
      <w:pPr>
        <w:pStyle w:val="Heading4"/>
      </w:pPr>
      <w:r>
        <w:t xml:space="preserve">4.2.1. Scope 2: Purchased Electricity (Category 3: Fuel- and Energy-Related Activities, not in Scope 1 or 2)</w:t>
      </w:r>
    </w:p>
    <w:p>
      <w:pPr>
        <w:pStyle w:val="FirstParagraph"/>
      </w:pPr>
      <w:r>
        <w:t xml:space="preserve">(Note: Purchased electricity emissions are generally Scope 2, but for a PCF analysis focused on the product lifecycle, the emissions from the generation of purchased electricity can also be treated as a Scope 3 activity for the reporting company if they are not the electricity generator itself. However, following the prompt for GHG Protocol categorization, we report it as Scope 2 for the *manufacturing entity\'s* purchased energy emissions for clarity).</w:t>
      </w:r>
    </w:p>
    <w:p>
      <w:pPr>
        <w:numPr>
          <w:ilvl w:val="0"/>
          <w:numId w:val="1013"/>
        </w:numPr>
        <w:pStyle w:val="Compact"/>
      </w:pPr>
      <w:r>
        <w:rPr>
          <w:bCs/>
          <w:b/>
        </w:rPr>
        <w:t xml:space="preserve">Total Energy Consumption:</w:t>
      </w:r>
      <w:r>
        <w:t xml:space="preserve"> </w:t>
      </w:r>
      <w:r>
        <w:t xml:space="preserve">10 kWh/unit [ewndlqdmiy]</w:t>
      </w:r>
    </w:p>
    <w:p>
      <w:pPr>
        <w:numPr>
          <w:ilvl w:val="0"/>
          <w:numId w:val="1013"/>
        </w:numPr>
        <w:pStyle w:val="Compact"/>
      </w:pPr>
      <w:r>
        <w:rPr>
          <w:bCs/>
          <w:b/>
        </w:rPr>
        <w:t xml:space="preserve">Renewable Energy Usage:</w:t>
      </w:r>
      <w:r>
        <w:t xml:space="preserve"> </w:t>
      </w:r>
      <w:r>
        <w:t xml:space="preserve">50% [peowyjivtr]</w:t>
      </w:r>
    </w:p>
    <w:p>
      <w:pPr>
        <w:numPr>
          <w:ilvl w:val="0"/>
          <w:numId w:val="1013"/>
        </w:numPr>
        <w:pStyle w:val="Compact"/>
      </w:pPr>
      <w:r>
        <w:rPr>
          <w:bCs/>
          <w:b/>
        </w:rPr>
        <w:t xml:space="preserve">Grid Electricity Consumption:</w:t>
      </w:r>
      <w:r>
        <w:t xml:space="preserve"> </w:t>
      </w:r>
      <w:r>
        <w:t xml:space="preserve">10 kWh/unit * (1 - 0.50) = 5 kWh/unit</w:t>
      </w:r>
    </w:p>
    <w:p>
      <w:pPr>
        <w:numPr>
          <w:ilvl w:val="0"/>
          <w:numId w:val="1013"/>
        </w:numPr>
        <w:pStyle w:val="Compact"/>
      </w:pPr>
      <w:r>
        <w:rPr>
          <w:bCs/>
          <w:b/>
        </w:rPr>
        <w:t xml:space="preserve">Grid Electricity Emission Factor (China):</w:t>
      </w:r>
      <w:r>
        <w:t xml:space="preserve"> </w:t>
      </w:r>
      <w:r>
        <w:t xml:space="preserve">0.6205 kg CO2e/kWh</w:t>
      </w:r>
    </w:p>
    <w:p>
      <w:pPr>
        <w:numPr>
          <w:ilvl w:val="0"/>
          <w:numId w:val="1013"/>
        </w:numPr>
        <w:pStyle w:val="Compact"/>
      </w:pPr>
      <w:r>
        <w:t xml:space="preserve">Calculation: 5 kWh * 0.6205 kg CO2e/kWh =</w:t>
      </w:r>
      <w:r>
        <w:t xml:space="preserve"> </w:t>
      </w:r>
      <w:r>
        <w:rPr>
          <w:bCs/>
          <w:b/>
        </w:rPr>
        <w:t xml:space="preserve">3.1025 kg CO2e</w:t>
      </w:r>
    </w:p>
    <w:p>
      <w:pPr>
        <w:pStyle w:val="FirstParagraph"/>
      </w:pPr>
      <w:r>
        <w:rPr>
          <w:bCs/>
          <w:b/>
        </w:rPr>
        <w:t xml:space="preserve">Subtotal Production (Scope 2): 3.1025 kg CO2e</w:t>
      </w:r>
    </w:p>
    <w:bookmarkEnd w:id="39"/>
    <w:bookmarkStart w:id="40" w:name="Xa2add4d0eaef662bf26c8a44afc9918465734a5"/>
    <w:p>
      <w:pPr>
        <w:pStyle w:val="Heading4"/>
      </w:pPr>
      <w:r>
        <w:t xml:space="preserve">4.2.2. Scope 1: Direct Emissions (e.g., from owned/controlled processes at factory)</w:t>
      </w:r>
    </w:p>
    <w:p>
      <w:pPr>
        <w:pStyle w:val="FirstParagraph"/>
      </w:pPr>
      <w:r>
        <w:t xml:space="preserve">Based on the provided parameters and "factory_gate" system boundary, no direct Scope 1 emissions (e.g., from on-site fuel combustion not covered by energy intensity or BOM) were identified or explicitly quantified. The primary production emissions are from purchased electricity (Scope 2).</w:t>
      </w:r>
    </w:p>
    <w:p>
      <w:pPr>
        <w:pStyle w:val="BodyText"/>
      </w:pPr>
      <w:r>
        <w:rPr>
          <w:bCs/>
          <w:b/>
        </w:rPr>
        <w:t xml:space="preserve">Subtotal Production (Scope 1): 0.00 kg CO2e</w:t>
      </w:r>
    </w:p>
    <w:bookmarkEnd w:id="40"/>
    <w:bookmarkEnd w:id="41"/>
    <w:bookmarkStart w:id="44" w:name="scope-3-downstream-emissions-value-chain"/>
    <w:p>
      <w:pPr>
        <w:pStyle w:val="Heading3"/>
      </w:pPr>
      <w:r>
        <w:t xml:space="preserve">4.3. Scope 3: Downstream Emissions (Value Chain)</w:t>
      </w:r>
    </w:p>
    <w:bookmarkStart w:id="42" w:name="X8d12bf184da61ed1b86eb215c14cb92288143a6"/>
    <w:p>
      <w:pPr>
        <w:pStyle w:val="Heading4"/>
      </w:pPr>
      <w:r>
        <w:t xml:space="preserve">4.3.1. Use Phase (Category 11: Use of Sold Products)</w:t>
      </w:r>
    </w:p>
    <w:p>
      <w:pPr>
        <w:numPr>
          <w:ilvl w:val="0"/>
          <w:numId w:val="1014"/>
        </w:numPr>
        <w:pStyle w:val="Compact"/>
      </w:pPr>
      <w:r>
        <w:rPr>
          <w:bCs/>
          <w:b/>
        </w:rPr>
        <w:t xml:space="preserve">Product Lifespan:</w:t>
      </w:r>
      <w:r>
        <w:t xml:space="preserve"> </w:t>
      </w:r>
      <w:r>
        <w:t xml:space="preserve">5 years [mwhenzzqyi]</w:t>
      </w:r>
    </w:p>
    <w:p>
      <w:pPr>
        <w:numPr>
          <w:ilvl w:val="0"/>
          <w:numId w:val="1014"/>
        </w:numPr>
        <w:pStyle w:val="Compact"/>
      </w:pPr>
      <w:r>
        <w:rPr>
          <w:bCs/>
          <w:b/>
        </w:rPr>
        <w:t xml:space="preserve">Annual Energy Consumption in Use:</w:t>
      </w:r>
      <w:r>
        <w:t xml:space="preserve"> </w:t>
      </w:r>
      <w:r>
        <w:t xml:space="preserve">20 kWh/year [wgzljkpgkw]</w:t>
      </w:r>
    </w:p>
    <w:p>
      <w:pPr>
        <w:numPr>
          <w:ilvl w:val="0"/>
          <w:numId w:val="1014"/>
        </w:numPr>
        <w:pStyle w:val="Compact"/>
      </w:pPr>
      <w:r>
        <w:rPr>
          <w:bCs/>
          <w:b/>
        </w:rPr>
        <w:t xml:space="preserve">Total Energy Consumption in Use:</w:t>
      </w:r>
      <w:r>
        <w:t xml:space="preserve"> </w:t>
      </w:r>
      <w:r>
        <w:t xml:space="preserve">20 kWh/year * 5 years = 100 kWh</w:t>
      </w:r>
    </w:p>
    <w:p>
      <w:pPr>
        <w:numPr>
          <w:ilvl w:val="0"/>
          <w:numId w:val="1014"/>
        </w:numPr>
        <w:pStyle w:val="Compact"/>
      </w:pPr>
      <w:r>
        <w:rPr>
          <w:bCs/>
          <w:b/>
        </w:rPr>
        <w:t xml:space="preserve">Grid Electricity Emission Factor (EU Average):</w:t>
      </w:r>
      <w:r>
        <w:t xml:space="preserve"> </w:t>
      </w:r>
      <w:r>
        <w:t xml:space="preserve">0.238 kg CO2e/kWh</w:t>
      </w:r>
    </w:p>
    <w:p>
      <w:pPr>
        <w:numPr>
          <w:ilvl w:val="0"/>
          <w:numId w:val="1014"/>
        </w:numPr>
        <w:pStyle w:val="Compact"/>
      </w:pPr>
      <w:r>
        <w:t xml:space="preserve">Calculation: 100 kWh * 0.238 kg CO2e/kWh =</w:t>
      </w:r>
      <w:r>
        <w:t xml:space="preserve"> </w:t>
      </w:r>
      <w:r>
        <w:rPr>
          <w:bCs/>
          <w:b/>
        </w:rPr>
        <w:t xml:space="preserve">23.80 kg CO2e</w:t>
      </w:r>
    </w:p>
    <w:p>
      <w:pPr>
        <w:pStyle w:val="FirstParagraph"/>
      </w:pPr>
      <w:r>
        <w:rPr>
          <w:bCs/>
          <w:b/>
        </w:rPr>
        <w:t xml:space="preserve">Subtotal Use Phase: 23.80 kg CO2e</w:t>
      </w:r>
    </w:p>
    <w:bookmarkEnd w:id="42"/>
    <w:bookmarkStart w:id="43" w:name="Xc4e5496ea9c23c4fd5f1a2af076b5b92fcc73fd"/>
    <w:p>
      <w:pPr>
        <w:pStyle w:val="Heading4"/>
      </w:pPr>
      <w:r>
        <w:t xml:space="preserve">4.3.2. End-of-Life Treatment (Category 12: End-of-Life Treatment of Sold Products)</w:t>
      </w:r>
    </w:p>
    <w:p>
      <w:pPr>
        <w:numPr>
          <w:ilvl w:val="0"/>
          <w:numId w:val="1015"/>
        </w:numPr>
        <w:pStyle w:val="Compact"/>
      </w:pPr>
      <w:r>
        <w:rPr>
          <w:bCs/>
          <w:b/>
        </w:rPr>
        <w:t xml:space="preserve">Product Mass (for EoL):</w:t>
      </w:r>
      <w:r>
        <w:t xml:space="preserve"> </w:t>
      </w:r>
      <w:r>
        <w:t xml:space="preserve">1.1 kg (total mass of materials excluding the packaging, assuming packaging is handled separately by the consumer or part of general waste)</w:t>
      </w:r>
    </w:p>
    <w:p>
      <w:pPr>
        <w:numPr>
          <w:ilvl w:val="0"/>
          <w:numId w:val="1015"/>
        </w:numPr>
        <w:pStyle w:val="Compact"/>
      </w:pPr>
      <w:r>
        <w:rPr>
          <w:bCs/>
          <w:b/>
        </w:rPr>
        <w:t xml:space="preserve">Recyclability Percentage:</w:t>
      </w:r>
      <w:r>
        <w:t xml:space="preserve"> </w:t>
      </w:r>
      <w:r>
        <w:t xml:space="preserve">70% [fhitrsgnkv]</w:t>
      </w:r>
    </w:p>
    <w:p>
      <w:pPr>
        <w:numPr>
          <w:ilvl w:val="0"/>
          <w:numId w:val="1015"/>
        </w:numPr>
        <w:pStyle w:val="Compact"/>
      </w:pPr>
      <w:r>
        <w:rPr>
          <w:bCs/>
          <w:b/>
        </w:rPr>
        <w:t xml:space="preserve">Mass Recycled:</w:t>
      </w:r>
      <w:r>
        <w:t xml:space="preserve"> </w:t>
      </w:r>
      <w:r>
        <w:t xml:space="preserve">1.1 kg * 0.70 = 0.77 kg</w:t>
      </w:r>
    </w:p>
    <w:p>
      <w:pPr>
        <w:numPr>
          <w:ilvl w:val="0"/>
          <w:numId w:val="1015"/>
        </w:numPr>
        <w:pStyle w:val="Compact"/>
      </w:pPr>
      <w:r>
        <w:rPr>
          <w:bCs/>
          <w:b/>
        </w:rPr>
        <w:t xml:space="preserve">Mass to Landfill:</w:t>
      </w:r>
      <w:r>
        <w:t xml:space="preserve"> </w:t>
      </w:r>
      <w:r>
        <w:t xml:space="preserve">1.1 kg * (1 - 0.70) = 0.33 kg</w:t>
      </w:r>
    </w:p>
    <w:p>
      <w:pPr>
        <w:numPr>
          <w:ilvl w:val="0"/>
          <w:numId w:val="1015"/>
        </w:numPr>
        <w:pStyle w:val="Compact"/>
      </w:pPr>
      <w:r>
        <w:rPr>
          <w:bCs/>
          <w:b/>
        </w:rPr>
        <w:t xml:space="preserve">Emissions from Recycling Process:</w:t>
      </w:r>
      <w:r>
        <w:t xml:space="preserve"> </w:t>
      </w:r>
      <w:r>
        <w:t xml:space="preserve">0.77 kg * 0.099 kg CO2e/kg =</w:t>
      </w:r>
      <w:r>
        <w:t xml:space="preserve"> </w:t>
      </w:r>
      <w:r>
        <w:rPr>
          <w:bCs/>
          <w:b/>
        </w:rPr>
        <w:t xml:space="preserve">0.07623 kg CO2e</w:t>
      </w:r>
    </w:p>
    <w:p>
      <w:pPr>
        <w:numPr>
          <w:ilvl w:val="0"/>
          <w:numId w:val="1015"/>
        </w:numPr>
        <w:pStyle w:val="Compact"/>
      </w:pPr>
      <w:r>
        <w:rPr>
          <w:bCs/>
          <w:b/>
        </w:rPr>
        <w:t xml:space="preserve">Emissions from Landfill:</w:t>
      </w:r>
      <w:r>
        <w:t xml:space="preserve"> </w:t>
      </w:r>
      <w:r>
        <w:t xml:space="preserve">0.33 kg * 0.75 kg CO2e/kg =</w:t>
      </w:r>
      <w:r>
        <w:t xml:space="preserve"> </w:t>
      </w:r>
      <w:r>
        <w:rPr>
          <w:bCs/>
          <w:b/>
        </w:rPr>
        <w:t xml:space="preserve">0.2475 kg CO2e</w:t>
      </w:r>
    </w:p>
    <w:p>
      <w:pPr>
        <w:numPr>
          <w:ilvl w:val="0"/>
          <w:numId w:val="1015"/>
        </w:numPr>
        <w:pStyle w:val="Compact"/>
      </w:pPr>
      <w:r>
        <w:rPr>
          <w:bCs/>
          <w:b/>
        </w:rPr>
        <w:t xml:space="preserve">Circular/Take-back Programs:</w:t>
      </w:r>
      <w:r>
        <w:t xml:space="preserve"> </w:t>
      </w:r>
      <w:r>
        <w:t xml:space="preserve">Yes, established take-back program [pxsdoxypsm] (This indicates a system to facilitate recycling, influencing the actual recyclability but for calculation purposes, the percentage is applied directly).</w:t>
      </w:r>
    </w:p>
    <w:p>
      <w:pPr>
        <w:pStyle w:val="FirstParagraph"/>
      </w:pPr>
      <w:r>
        <w:rPr>
          <w:bCs/>
          <w:b/>
        </w:rPr>
        <w:t xml:space="preserve">Subtotal End-of-Life:</w:t>
      </w:r>
      <w:r>
        <w:t xml:space="preserve"> </w:t>
      </w:r>
      <w:r>
        <w:t xml:space="preserve">0.07623 + 0.2475 =</w:t>
      </w:r>
      <w:r>
        <w:t xml:space="preserve"> </w:t>
      </w:r>
      <w:r>
        <w:rPr>
          <w:bCs/>
          <w:b/>
        </w:rPr>
        <w:t xml:space="preserve">0.32373 kg CO2e</w:t>
      </w:r>
    </w:p>
    <w:bookmarkEnd w:id="43"/>
    <w:bookmarkEnd w:id="44"/>
    <w:bookmarkStart w:id="4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12.75</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0.2172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23.80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0.32373</w:t>
            </w:r>
          </w:p>
        </w:tc>
      </w:tr>
      <w:tr>
        <w:tc>
          <w:tcPr/>
          <w:p>
            <w:pPr>
              <w:pStyle w:val="Compact"/>
              <w:jc w:val="left"/>
            </w:pPr>
            <w:r>
              <w:rPr>
                <w:bCs/>
                <w:b/>
              </w:rPr>
              <w:t xml:space="preserve">Total Product Carbon Footprint (PCF)</w:t>
            </w:r>
          </w:p>
        </w:tc>
        <w:tc>
          <w:tcPr/>
          <w:p>
            <w:pPr>
              <w:pStyle w:val="Compact"/>
            </w:pPr>
          </w:p>
        </w:tc>
        <w:tc>
          <w:tcPr/>
          <w:p>
            <w:pPr>
              <w:pStyle w:val="Compact"/>
              <w:jc w:val="left"/>
            </w:pPr>
            <w:r>
              <w:rPr>
                <w:bCs/>
                <w:b/>
              </w:rPr>
              <w:t xml:space="preserve">40.19343</w:t>
            </w:r>
          </w:p>
        </w:tc>
      </w:tr>
    </w:tbl>
    <w:p>
      <w:pPr>
        <w:pStyle w:val="BodyText"/>
      </w:pPr>
      <w:r>
        <w:rPr>
          <w:bCs/>
          <w:b/>
        </w:rPr>
        <w:t xml:space="preserve">Total PCF for vutttuwvkx: 40.19 kg CO2e per unit.</w:t>
      </w:r>
    </w:p>
    <w:bookmarkEnd w:id="45"/>
    <w:bookmarkEnd w:id="46"/>
    <w:p>
      <w:r>
        <w:pict>
          <v:rect style="width:0;height:1.5pt" o:hralign="center" o:hrstd="t" o:hr="t"/>
        </w:pict>
      </w:r>
    </w:p>
    <w:bookmarkStart w:id="49" w:name="review-report---hotspots-and-reliability"/>
    <w:p>
      <w:pPr>
        <w:pStyle w:val="Heading2"/>
      </w:pPr>
      <w:r>
        <w:t xml:space="preserve">5. Review &amp; Report - Hotspots and Reliability</w:t>
      </w:r>
    </w:p>
    <w:bookmarkStart w:id="47" w:name="emission-hotspots"/>
    <w:p>
      <w:pPr>
        <w:pStyle w:val="Heading3"/>
      </w:pPr>
      <w:r>
        <w:t xml:space="preserve">5.1. Emission Hotspots</w:t>
      </w:r>
    </w:p>
    <w:p>
      <w:pPr>
        <w:pStyle w:val="FirstParagraph"/>
      </w:pPr>
      <w:r>
        <w:t xml:space="preserve">The analysis identifies the following primary emission hotspots for vutttuwvkx:</w:t>
      </w:r>
    </w:p>
    <w:p>
      <w:pPr>
        <w:numPr>
          <w:ilvl w:val="0"/>
          <w:numId w:val="1016"/>
        </w:numPr>
        <w:pStyle w:val="Compact"/>
      </w:pPr>
      <w:r>
        <w:rPr>
          <w:bCs/>
          <w:b/>
        </w:rPr>
        <w:t xml:space="preserve">Use Phase (59.2%):</w:t>
      </w:r>
      <w:r>
        <w:t xml:space="preserve"> </w:t>
      </w:r>
      <w:r>
        <w:t xml:space="preserve">With 23.80 kg CO2e, the energy consumption during the product\'s 5-year lifespan is the most significant contributor to its overall carbon footprint. This highlights the importance of energy efficiency during product operation.</w:t>
      </w:r>
    </w:p>
    <w:p>
      <w:pPr>
        <w:numPr>
          <w:ilvl w:val="0"/>
          <w:numId w:val="1016"/>
        </w:numPr>
        <w:pStyle w:val="Compact"/>
      </w:pPr>
      <w:r>
        <w:rPr>
          <w:bCs/>
          <w:b/>
        </w:rPr>
        <w:t xml:space="preserve">Materials Acquisition &amp; Pre-processing (31.7%):</w:t>
      </w:r>
      <w:r>
        <w:t xml:space="preserve"> </w:t>
      </w:r>
      <w:r>
        <w:t xml:space="preserve">At 12.75 kg CO2e, the raw materials, particularly the aluminum casing and circuit board, contribute substantially. This emphasizes the need for sustainable material sourcing, design for circularity, and exploring lower-carbon alternatives.</w:t>
      </w:r>
    </w:p>
    <w:p>
      <w:pPr>
        <w:numPr>
          <w:ilvl w:val="0"/>
          <w:numId w:val="1016"/>
        </w:numPr>
        <w:pStyle w:val="Compact"/>
      </w:pPr>
      <w:r>
        <w:rPr>
          <w:bCs/>
          <w:b/>
        </w:rPr>
        <w:t xml:space="preserve">Production (7.7% - Scope 2):</w:t>
      </w:r>
      <w:r>
        <w:t xml:space="preserve"> </w:t>
      </w:r>
      <w:r>
        <w:t xml:space="preserve">Emissions from purchased electricity for manufacturing, totaling 3.1025 kg CO2e, represent another notable area. Increasing renewable energy procurement beyond the current 50% at the production facility is crucial for reduction.</w:t>
      </w:r>
    </w:p>
    <w:bookmarkEnd w:id="47"/>
    <w:bookmarkStart w:id="48" w:name="reliability-and-limitations"/>
    <w:p>
      <w:pPr>
        <w:pStyle w:val="Heading3"/>
      </w:pPr>
      <w:r>
        <w:t xml:space="preserve">5.2. Reliability and Limitations</w:t>
      </w:r>
    </w:p>
    <w:p>
      <w:pPr>
        <w:pStyle w:val="FirstParagraph"/>
      </w:pPr>
      <w:r>
        <w:t xml:space="preserve">The reliability of this PCF analysis is high due to the explicit use of provided, detailed BOM data and adherence to the GHG Protocol. However, certain limitations and assumptions are inherent:</w:t>
      </w:r>
    </w:p>
    <w:p>
      <w:pPr>
        <w:numPr>
          <w:ilvl w:val="0"/>
          <w:numId w:val="1017"/>
        </w:numPr>
        <w:pStyle w:val="Compact"/>
      </w:pPr>
      <w:r>
        <w:rPr>
          <w:bCs/>
          <w:b/>
        </w:rPr>
        <w:t xml:space="preserve">Placeholder Data:</w:t>
      </w:r>
      <w:r>
        <w:t xml:space="preserve"> </w:t>
      </w:r>
      <w:r>
        <w:t xml:space="preserve">Transport distance, transport mode, last-mile delivery channel, renewable energy usage, energy intensity, product lifespan, energy consumption in use, recyclability percentage, and circular/take-back programs were provided as placeholders. Assumed values, based on reasonable industry averages or typical scenarios for the geographic scope, were used, which may not reflect actual operational data if different.</w:t>
      </w:r>
    </w:p>
    <w:p>
      <w:pPr>
        <w:numPr>
          <w:ilvl w:val="0"/>
          <w:numId w:val="1017"/>
        </w:numPr>
        <w:pStyle w:val="Compact"/>
      </w:pPr>
      <w:r>
        <w:rPr>
          <w:bCs/>
          <w:b/>
        </w:rPr>
        <w:t xml:space="preserve">Emission Factor Sources:</w:t>
      </w:r>
      <w:r>
        <w:t xml:space="preserve"> </w:t>
      </w:r>
      <w:r>
        <w:t xml:space="preserve">While industry-standard emission factors (e.g., from BEIS, EPA, IEA, relevant studies for China/EU) were used, slight variations may exist across different databases (e.g., Ecoinvent, DEFRA, etc.) depending on methodology, geography, and year of data.</w:t>
      </w:r>
    </w:p>
    <w:p>
      <w:pPr>
        <w:numPr>
          <w:ilvl w:val="0"/>
          <w:numId w:val="1017"/>
        </w:numPr>
        <w:pStyle w:val="Compact"/>
      </w:pPr>
      <w:r>
        <w:rPr>
          <w:bCs/>
          <w:b/>
        </w:rPr>
        <w:t xml:space="preserve">Scope 3 Coverage:</w:t>
      </w:r>
      <w:r>
        <w:t xml:space="preserve"> </w:t>
      </w:r>
      <w:r>
        <w:t xml:space="preserve">While striving for 95% Scope 3 coverage, some minor categories not explicitly detailed in the parameters (e.g., business travel related to the product, waste generated in operations beyond product EoL, capital goods) might not be fully quantified.</w:t>
      </w:r>
    </w:p>
    <w:p>
      <w:pPr>
        <w:numPr>
          <w:ilvl w:val="0"/>
          <w:numId w:val="1017"/>
        </w:numPr>
        <w:pStyle w:val="Compact"/>
      </w:pPr>
      <w:r>
        <w:rPr>
          <w:bCs/>
          <w:b/>
        </w:rPr>
        <w:t xml:space="preserve">End-of-Life Complexity:</w:t>
      </w:r>
      <w:r>
        <w:t xml:space="preserve"> </w:t>
      </w:r>
      <w:r>
        <w:t xml:space="preserve">EoL scenarios often involve complex dynamics like actual vs. theoretical recyclability, energy recovery from incineration, and biogenic carbon cycling, which are simplified in this analysis. The calculated EoL emissions focus on the process emissions of recycling and landfilling based on mixed waste factors.</w:t>
      </w:r>
    </w:p>
    <w:p>
      <w:pPr>
        <w:numPr>
          <w:ilvl w:val="0"/>
          <w:numId w:val="1017"/>
        </w:numPr>
        <w:pStyle w:val="Compact"/>
      </w:pPr>
      <w:r>
        <w:rPr>
          <w:bCs/>
          <w:b/>
        </w:rPr>
        <w:t xml:space="preserve">Dynamic Factors:</w:t>
      </w:r>
      <w:r>
        <w:t xml:space="preserve"> </w:t>
      </w:r>
      <w:r>
        <w:t xml:space="preserve">Market conditions, energy grid mixes, and transport efficiencies evolve, meaning PCF values are dynamic and require periodic updates.</w:t>
      </w:r>
    </w:p>
    <w:p>
      <w:pPr>
        <w:pStyle w:val="FirstParagraph"/>
      </w:pPr>
      <w:r>
        <w:t xml:space="preserve">Further detailed primary data collection for all lifecycle stages would enhance the accuracy of this assessment.</w:t>
      </w:r>
    </w:p>
    <w:bookmarkEnd w:id="48"/>
    <w:bookmarkEnd w:id="4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vutttuwvkx</dc:title>
  <dc:creator/>
  <dc:description>Detailed Product Carbon Footprint (PCF) analysis for vutttuwvkx, performed by Senior Sustainability Consultant mjprdrunwh for fqiqwrikfj, adhering to GHG Protocol and 2026 LSR update.</dc:description>
  <dc:language>en</dc:language>
  <cp:keywords/>
  <dcterms:created xsi:type="dcterms:W3CDTF">2026-07-15T02:09:51Z</dcterms:created>
  <dcterms:modified xsi:type="dcterms:W3CDTF">2026-07-15T02:09:51Z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