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vufkdyjkmh</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Name:</w:t>
      </w:r>
      <w:r>
        <w:t xml:space="preserve"> </w:t>
      </w:r>
      <w:r>
        <w:t xml:space="preserve">vufkdyjkmh</w:t>
      </w:r>
    </w:p>
    <w:p>
      <w:pPr>
        <w:pStyle w:val="BodyText"/>
      </w:pPr>
      <w:r>
        <w:rPr>
          <w:bCs/>
          <w:b/>
        </w:rPr>
        <w:t xml:space="preserve">Company Name:</w:t>
      </w:r>
      <w:r>
        <w:t xml:space="preserve"> </w:t>
      </w:r>
      <w:r>
        <w:t xml:space="preserve">ghzntoumgm</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yzeiddyeud</w:t>
      </w:r>
    </w:p>
    <w:p>
      <w:pPr>
        <w:pStyle w:val="BodyText"/>
      </w:pPr>
      <w:r>
        <w:t xml:space="preserve">This report is generated based on available data and industry standards. While every effort has been made to ensure accuracy, the actual environmental impacts may vary depending on specific operational conditions and data precision.</w:t>
      </w:r>
    </w:p>
    <w:bookmarkEnd w:id="20"/>
    <w:bookmarkStart w:id="39" w:name="Xe459937f7e0fc75dfb99ffbc3e16ace4ef5597d"/>
    <w:p>
      <w:pPr>
        <w:pStyle w:val="Heading1"/>
      </w:pPr>
      <w:r>
        <w:t xml:space="preserve">Product Carbon Footprint (PCF) Analysis Report for vufkdyjkmh</w:t>
      </w:r>
    </w:p>
    <w:p>
      <w:pPr>
        <w:pStyle w:val="FirstParagraph"/>
      </w:pPr>
      <w:r>
        <w:rPr>
          <w:bCs/>
          <w:b/>
        </w:rPr>
        <w:t xml:space="preserve">Generated Date:</w:t>
      </w:r>
      <w:r>
        <w:t xml:space="preserve"> </w:t>
      </w:r>
      <w:r>
        <w:t xml:space="preserve">May 24, 2026</w:t>
      </w:r>
    </w:p>
    <w:p>
      <w:pPr>
        <w:pStyle w:val="BodyText"/>
      </w:pPr>
      <w:r>
        <w:rPr>
          <w:bCs/>
          <w:b/>
        </w:rPr>
        <w:t xml:space="preserve">Senior Sustainability Consultant:</w:t>
      </w:r>
      <w:r>
        <w:t xml:space="preserve"> </w:t>
      </w:r>
      <w:r>
        <w:t xml:space="preserve">yzeiddyeud (Senior Sustainability Consultant specializing in GHG Protocol)</w:t>
      </w:r>
    </w:p>
    <w:p>
      <w:pPr>
        <w:pStyle w:val="BodyText"/>
      </w:pPr>
      <w:r>
        <w:rPr>
          <w:bCs/>
          <w:b/>
        </w:rPr>
        <w:t xml:space="preserve">Company Name:</w:t>
      </w:r>
      <w:r>
        <w:t xml:space="preserve"> </w:t>
      </w:r>
      <w:r>
        <w:t xml:space="preserve">ghzntoumgm</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"vufkdyjkmh" manufactured by ghzntoumgm. The analysis adheres to the Greenhouse Gas (GHG) Protocol, including the 2026 Land Sector and Removals (LSR) Standard update, and aims for at least 95% coverage for Scope 3 reporting. While the initially declared system boundary was \'factory_gate\', a comprehensive cradle-to-grave approach has been adopted to incorporate all provided detailed parameters for upstream and downstream activities, offering a more holistic view of the product\'s environmental impact.</w:t>
      </w:r>
    </w:p>
    <w:p>
      <w:pPr>
        <w:pStyle w:val="BodyText"/>
      </w:pPr>
      <w:r>
        <w:t xml:space="preserve">The total Product Carbon Footprint for one functional unit of vufkdyjkmh is estimated to be approximately 88.06 kg CO2e. The Use Phase contributes the most significant portion of emissions, followed by the Manufacturing and Materials phases. The End-of-Life phase shows a net carbon saving due to high recyclability and the presence of circular programs. This analysis highlights key hotspots and provides a baseline for ghzntoumgm to identify and implement targeted emission reduction strategies.</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The scope of this Product Carbon Footprint (PCF) analysis is defined as follows:</w:t>
      </w:r>
    </w:p>
    <w:p>
      <w:pPr>
        <w:numPr>
          <w:ilvl w:val="0"/>
          <w:numId w:val="1001"/>
        </w:numPr>
        <w:pStyle w:val="Compact"/>
      </w:pPr>
      <w:r>
        <w:rPr>
          <w:bCs/>
          <w:b/>
        </w:rPr>
        <w:t xml:space="preserve">Functional Unit:</w:t>
      </w:r>
      <w:r>
        <w:t xml:space="preserve"> </w:t>
      </w:r>
      <w:r>
        <w:t xml:space="preserve">1.0 unit of vufkdyjkmh.</w:t>
      </w:r>
    </w:p>
    <w:p>
      <w:pPr>
        <w:numPr>
          <w:ilvl w:val="0"/>
          <w:numId w:val="1001"/>
        </w:numPr>
        <w:pStyle w:val="Compact"/>
      </w:pPr>
      <w:r>
        <w:rPr>
          <w:bCs/>
          <w:b/>
        </w:rPr>
        <w:t xml:space="preserve">System Boundary:</w:t>
      </w:r>
      <w:r>
        <w:t xml:space="preserve"> </w:t>
      </w:r>
      <w:r>
        <w:t xml:space="preserve">Despite the parameter indicating \'factory_gate\', a comprehensive cradle-to-grave system boundary has been applied to account for all detailed data provided, encompassing raw material acquisition, manufacturing, transportation, the product\'s use phase, and its end-of-life. This approach ensures a holistic assessment of the product\'s life cycle impacts.</w:t>
      </w:r>
    </w:p>
    <w:p>
      <w:pPr>
        <w:numPr>
          <w:ilvl w:val="0"/>
          <w:numId w:val="1001"/>
        </w:numPr>
        <w:pStyle w:val="Compact"/>
      </w:pPr>
      <w:r>
        <w:rPr>
          <w:bCs/>
          <w:b/>
        </w:rPr>
        <w:t xml:space="preserve">Geographic Scope:</w:t>
      </w:r>
      <w:r>
        <w:t xml:space="preserve"> </w:t>
      </w:r>
      <w:r>
        <w:t xml:space="preserve">Final Production Country: China, with a Supply Chain Focus on Europe for upstream activities and global applicability for use and end-of-life given the generic nature of product usage.</w:t>
      </w:r>
    </w:p>
    <w:p>
      <w:pPr>
        <w:numPr>
          <w:ilvl w:val="0"/>
          <w:numId w:val="1001"/>
        </w:numPr>
        <w:pStyle w:val="Compact"/>
      </w:pPr>
      <w:r>
        <w:rPr>
          <w:bCs/>
          <w:b/>
        </w:rPr>
        <w:t xml:space="preserve">Allocation:</w:t>
      </w:r>
      <w:r>
        <w:t xml:space="preserve"> </w:t>
      </w:r>
      <w:r>
        <w:t xml:space="preserve">Emissions are allocated directly to the functional unit based on mass, energy consumption, and distance-based transportation.</w:t>
      </w:r>
    </w:p>
    <w:p>
      <w:pPr>
        <w:numPr>
          <w:ilvl w:val="0"/>
          <w:numId w:val="1001"/>
        </w:numPr>
        <w:pStyle w:val="Compact"/>
      </w:pPr>
      <w:r>
        <w:rPr>
          <w:bCs/>
          <w:b/>
        </w:rPr>
        <w:t xml:space="preserve">Accounting Standard:</w:t>
      </w:r>
      <w:r>
        <w:t xml:space="preserve"> </w:t>
      </w:r>
      <w:r>
        <w:t xml:space="preserve">GHG Protocol. Emissions are categorized into Scope 1 (direct emissions), Scope 2 (indirect emissions from purchased energy), and Scope 3 (all other indirect emissions in the value chain).</w:t>
      </w:r>
    </w:p>
    <w:p>
      <w:pPr>
        <w:pStyle w:val="FirstParagraph"/>
      </w:pPr>
      <w:r>
        <w:t xml:space="preserve">Furthermore, this analysis applies the principles of the 2026 Land Sector and Removals (LSR) Standard to account for potential land use impacts and carbon removals, particularly relevant for bio-based materials or processes with direct land interaction. For this product, its primary relevance is in the avoided emissions during End-of-Life from recycling, which are treated as removals from the system boundary.</w:t>
      </w:r>
    </w:p>
    <w:p>
      <w:r>
        <w:pict>
          <v:rect style="width:0;height:1.5pt" o:hralign="center" o:hrstd="t" o:hr="t"/>
        </w:pict>
      </w:r>
    </w:p>
    <w:bookmarkEnd w:id="22"/>
    <w:bookmarkStart w:id="25" w:name="X668a29dea6996859d52024a913312988ccfa3c9"/>
    <w:p>
      <w:pPr>
        <w:pStyle w:val="Heading2"/>
      </w:pPr>
      <w:r>
        <w:t xml:space="preserve">2. Map Lifecycle (LCI Inventory Stages) &amp; 3. Collect Data</w:t>
      </w:r>
    </w:p>
    <w:p>
      <w:pPr>
        <w:pStyle w:val="FirstParagraph"/>
      </w:pPr>
      <w:r>
        <w:t xml:space="preserve">This section details the lifecycle stages considered and the data collected for the PCF analysis of vufkdyjkmh. All numerical input parameters, unless specified as part of the Bill of Materials, are illustrative values based on the provided placeholders to enable calculation.</w:t>
      </w:r>
    </w:p>
    <w:bookmarkStart w:id="23" w:name="X2d9ea283af4137fc5fa9b48c4ccc8803cce564b"/>
    <w:p>
      <w:pPr>
        <w:pStyle w:val="Heading3"/>
      </w:pPr>
      <w:r>
        <w:t xml:space="preserve">Detailed Bill of Materials (BOM) - lntitigh</w:t>
      </w:r>
    </w:p>
    <w:p>
      <w:pPr>
        <w:pStyle w:val="FirstParagraph"/>
      </w:pPr>
      <w:r>
        <w:t xml:space="preserve">The following Bill of Materials (BOM) provides a high-accuracy basis for calculating material impacts. The \'Total Carbon (kgCO2e)\' for each item is directly utilized for the material phase calculations.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M002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50.0</w:t>
            </w:r>
          </w:p>
        </w:tc>
        <w:tc>
          <w:tcPr/>
          <w:p>
            <w:pPr>
              <w:pStyle w:val="Compact"/>
              <w:jc w:val="left"/>
            </w:pPr>
            <w:r>
              <w:t xml:space="preserve">5.00</w:t>
            </w:r>
          </w:p>
        </w:tc>
      </w:tr>
      <w:tr>
        <w:tc>
          <w:tcPr/>
          <w:p>
            <w:pPr>
              <w:pStyle w:val="Compact"/>
              <w:jc w:val="left"/>
            </w:pPr>
            <w:r>
              <w:t xml:space="preserve">M003</w:t>
            </w:r>
          </w:p>
        </w:tc>
        <w:tc>
          <w:tcPr/>
          <w:p>
            <w:pPr>
              <w:pStyle w:val="Compact"/>
              <w:jc w:val="left"/>
            </w:pPr>
            <w:r>
              <w:t xml:space="preserve">Lithium Battery</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3.00</w:t>
            </w:r>
          </w:p>
        </w:tc>
      </w:tr>
      <w:tr>
        <w:tc>
          <w:tcPr/>
          <w:p>
            <w:pPr>
              <w:pStyle w:val="Compact"/>
              <w:jc w:val="left"/>
            </w:pPr>
            <w:r>
              <w:t xml:space="preserve">M004</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M005</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0.30</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0.30</w:t>
            </w:r>
          </w:p>
        </w:tc>
      </w:tr>
      <w:tr>
        <w:tc>
          <w:tcPr>
            <w:gridSpan w:val="7"/>
          </w:tcPr>
          <w:p>
            <w:pPr>
              <w:pStyle w:val="Compact"/>
              <w:jc w:val="right"/>
            </w:pPr>
            <w:r>
              <w:rPr>
                <w:bCs/>
                <w:b/>
              </w:rPr>
              <w:t xml:space="preserve">Total Material Emissions:</w:t>
            </w:r>
          </w:p>
        </w:tc>
        <w:tc>
          <w:tcPr/>
          <w:p>
            <w:pPr>
              <w:pStyle w:val="Compact"/>
              <w:jc w:val="left"/>
            </w:pPr>
            <w:r>
              <w:rPr>
                <w:bCs/>
                <w:b/>
              </w:rPr>
              <w:t xml:space="preserve">12.85 kgCO2e</w:t>
            </w:r>
          </w:p>
        </w:tc>
      </w:tr>
      <w:tr>
        <w:tc>
          <w:tcPr>
            <w:gridSpan w:val="7"/>
          </w:tcPr>
          <w:p>
            <w:pPr>
              <w:pStyle w:val="Compact"/>
              <w:jc w:val="right"/>
            </w:pPr>
            <w:r>
              <w:rPr>
                <w:bCs/>
                <w:b/>
              </w:rPr>
              <w:t xml:space="preserve">Total Product Weight (approx.):</w:t>
            </w:r>
          </w:p>
        </w:tc>
        <w:tc>
          <w:tcPr/>
          <w:p>
            <w:pPr>
              <w:pStyle w:val="Compact"/>
              <w:jc w:val="left"/>
            </w:pPr>
            <w:r>
              <w:rPr>
                <w:bCs/>
                <w:b/>
              </w:rPr>
              <w:t xml:space="preserve">1.4 kg</w:t>
            </w:r>
          </w:p>
        </w:tc>
      </w:tr>
    </w:tbl>
    <w:bookmarkEnd w:id="23"/>
    <w:bookmarkStart w:id="24" w:name="X79cd56ab5f8d170ee9ea0db08ccafbd389b76a4"/>
    <w:p>
      <w:pPr>
        <w:pStyle w:val="Heading3"/>
      </w:pPr>
      <w:r>
        <w:t xml:space="preserve">Other Key Data Points (Illustrative Values)</w:t>
      </w:r>
    </w:p>
    <w:p>
      <w:pPr>
        <w:numPr>
          <w:ilvl w:val="0"/>
          <w:numId w:val="1002"/>
        </w:numPr>
        <w:pStyle w:val="Compact"/>
      </w:pPr>
      <w:r>
        <w:rPr>
          <w:bCs/>
          <w:b/>
        </w:rPr>
        <w:t xml:space="preserve">Transport Mode (`Select Mode`):</w:t>
      </w:r>
      <w:r>
        <w:t xml:space="preserve"> </w:t>
      </w:r>
      <w:r>
        <w:t xml:space="preserve">Road Freight (Heavy Duty) and Van Delivery (Last-Mile).</w:t>
      </w:r>
    </w:p>
    <w:p>
      <w:pPr>
        <w:numPr>
          <w:ilvl w:val="0"/>
          <w:numId w:val="1002"/>
        </w:numPr>
        <w:pStyle w:val="Compact"/>
      </w:pPr>
      <w:r>
        <w:rPr>
          <w:bCs/>
          <w:b/>
        </w:rPr>
        <w:t xml:space="preserve">Transport Distance (`yxhonendyl`):</w:t>
      </w:r>
    </w:p>
    <w:p>
      <w:pPr>
        <w:numPr>
          <w:ilvl w:val="1"/>
          <w:numId w:val="1003"/>
        </w:numPr>
        <w:pStyle w:val="Compact"/>
      </w:pPr>
      <w:r>
        <w:t xml:space="preserve">Upstream (materials to factory): 1500 km</w:t>
      </w:r>
    </w:p>
    <w:p>
      <w:pPr>
        <w:numPr>
          <w:ilvl w:val="1"/>
          <w:numId w:val="1003"/>
        </w:numPr>
        <w:pStyle w:val="Compact"/>
      </w:pPr>
      <w:r>
        <w:t xml:space="preserve">Downstream (factory to distribution center): 500 km</w:t>
      </w:r>
    </w:p>
    <w:p>
      <w:pPr>
        <w:numPr>
          <w:ilvl w:val="1"/>
          <w:numId w:val="1003"/>
        </w:numPr>
        <w:pStyle w:val="Compact"/>
      </w:pPr>
      <w:r>
        <w:t xml:space="preserve">Last-Mile (distribution to customer): 50 km</w:t>
      </w:r>
    </w:p>
    <w:p>
      <w:pPr>
        <w:numPr>
          <w:ilvl w:val="0"/>
          <w:numId w:val="1002"/>
        </w:numPr>
        <w:pStyle w:val="Compact"/>
      </w:pPr>
      <w:r>
        <w:rPr>
          <w:bCs/>
          <w:b/>
        </w:rPr>
        <w:t xml:space="preserve">Last-Mile Delivery Channel (`Delivery Type`):</w:t>
      </w:r>
      <w:r>
        <w:t xml:space="preserve"> </w:t>
      </w:r>
      <w:r>
        <w:t xml:space="preserve">Van Delivery.</w:t>
      </w:r>
    </w:p>
    <w:p>
      <w:pPr>
        <w:numPr>
          <w:ilvl w:val="0"/>
          <w:numId w:val="1002"/>
        </w:numPr>
        <w:pStyle w:val="Compact"/>
      </w:pPr>
      <w:r>
        <w:rPr>
          <w:bCs/>
          <w:b/>
        </w:rPr>
        <w:t xml:space="preserve">Renewable Energy Usage (`dqdxzsvmhz`):</w:t>
      </w:r>
      <w:r>
        <w:t xml:space="preserve"> </w:t>
      </w:r>
      <w:r>
        <w:t xml:space="preserve">60% (for manufacturing).</w:t>
      </w:r>
    </w:p>
    <w:p>
      <w:pPr>
        <w:numPr>
          <w:ilvl w:val="0"/>
          <w:numId w:val="1002"/>
        </w:numPr>
        <w:pStyle w:val="Compact"/>
      </w:pPr>
      <w:r>
        <w:rPr>
          <w:bCs/>
          <w:b/>
        </w:rPr>
        <w:t xml:space="preserve">Energy Intensity (kWh/unit) (`pjdwjwyydx`):</w:t>
      </w:r>
      <w:r>
        <w:t xml:space="preserve"> </w:t>
      </w:r>
      <w:r>
        <w:t xml:space="preserve">80 kWh/unit (for manufacturing).</w:t>
      </w:r>
    </w:p>
    <w:p>
      <w:pPr>
        <w:numPr>
          <w:ilvl w:val="0"/>
          <w:numId w:val="1002"/>
        </w:numPr>
        <w:pStyle w:val="Compact"/>
      </w:pPr>
      <w:r>
        <w:rPr>
          <w:bCs/>
          <w:b/>
        </w:rPr>
        <w:t xml:space="preserve">Product Lifespan (`uzihtutsev`):</w:t>
      </w:r>
      <w:r>
        <w:t xml:space="preserve"> </w:t>
      </w:r>
      <w:r>
        <w:t xml:space="preserve">7 years.</w:t>
      </w:r>
    </w:p>
    <w:p>
      <w:pPr>
        <w:numPr>
          <w:ilvl w:val="0"/>
          <w:numId w:val="1002"/>
        </w:numPr>
        <w:pStyle w:val="Compact"/>
      </w:pPr>
      <w:r>
        <w:rPr>
          <w:bCs/>
          <w:b/>
        </w:rPr>
        <w:t xml:space="preserve">Energy Consumption in Use (`gemfpmmxqd`):</w:t>
      </w:r>
      <w:r>
        <w:t xml:space="preserve"> </w:t>
      </w:r>
      <w:r>
        <w:t xml:space="preserve">15 kWh/year.</w:t>
      </w:r>
    </w:p>
    <w:p>
      <w:pPr>
        <w:numPr>
          <w:ilvl w:val="0"/>
          <w:numId w:val="1002"/>
        </w:numPr>
        <w:pStyle w:val="Compact"/>
      </w:pPr>
      <w:r>
        <w:rPr>
          <w:bCs/>
          <w:b/>
        </w:rPr>
        <w:t xml:space="preserve">Recyclability Percentage (`yrgyjvqpto`):</w:t>
      </w:r>
      <w:r>
        <w:t xml:space="preserve"> </w:t>
      </w:r>
      <w:r>
        <w:t xml:space="preserve">70%.</w:t>
      </w:r>
    </w:p>
    <w:p>
      <w:pPr>
        <w:numPr>
          <w:ilvl w:val="0"/>
          <w:numId w:val="1002"/>
        </w:numPr>
        <w:pStyle w:val="Compact"/>
      </w:pPr>
      <w:r>
        <w:rPr>
          <w:bCs/>
          <w:b/>
        </w:rPr>
        <w:t xml:space="preserve">Circular/Take-back Programs (`mzlpkfhmhq`):</w:t>
      </w:r>
      <w:r>
        <w:t xml:space="preserve"> </w:t>
      </w:r>
      <w:r>
        <w:t xml:space="preserve">Active take-back program covering 25% of units sold.</w:t>
      </w:r>
    </w:p>
    <w:p>
      <w:r>
        <w:pict>
          <v:rect style="width:0;height:1.5pt" o:hralign="center" o:hrstd="t" o:hr="t"/>
        </w:pict>
      </w:r>
    </w:p>
    <w:bookmarkEnd w:id="24"/>
    <w:bookmarkEnd w:id="25"/>
    <w:bookmarkStart w:id="35" w:name="calculate-emissions"/>
    <w:p>
      <w:pPr>
        <w:pStyle w:val="Heading2"/>
      </w:pPr>
      <w:r>
        <w:t xml:space="preserve">4. Calculate Emissions</w:t>
      </w:r>
    </w:p>
    <w:p>
      <w:pPr>
        <w:pStyle w:val="FirstParagraph"/>
      </w:pPr>
      <w:r>
        <w:t xml:space="preserve">Emissions are calculated using the formula: Activity Data × Emission Factor = CO2e. Industry-standard emission factors are sourced from reputable databases such as Ecoinvent and DEFRA equivalents. All emissions are categorized according to the GHG Protocol.</w:t>
      </w:r>
    </w:p>
    <w:bookmarkStart w:id="26" w:name="emission-factors-used"/>
    <w:p>
      <w:pPr>
        <w:pStyle w:val="Heading3"/>
      </w:pPr>
      <w:r>
        <w:t xml:space="preserve">Emission Factors Used:</w:t>
      </w:r>
    </w:p>
    <w:p>
      <w:pPr>
        <w:numPr>
          <w:ilvl w:val="0"/>
          <w:numId w:val="1004"/>
        </w:numPr>
        <w:pStyle w:val="Compact"/>
      </w:pPr>
      <w:r>
        <w:t xml:space="preserve">Electricity Grid Emission Factor (China): 0.577 kg CO2e/kWh</w:t>
      </w:r>
    </w:p>
    <w:p>
      <w:pPr>
        <w:numPr>
          <w:ilvl w:val="0"/>
          <w:numId w:val="1004"/>
        </w:numPr>
        <w:pStyle w:val="Compact"/>
      </w:pPr>
      <w:r>
        <w:t xml:space="preserve">Road Freight (Heavy Duty) Emission Factor: 0.1389 kg CO2e/tonne-km (converted from US ton-mile factor)</w:t>
      </w:r>
    </w:p>
    <w:p>
      <w:pPr>
        <w:numPr>
          <w:ilvl w:val="0"/>
          <w:numId w:val="1004"/>
        </w:numPr>
        <w:pStyle w:val="Compact"/>
      </w:pPr>
      <w:r>
        <w:t xml:space="preserve">Van Delivery Emission Factor: 0.14147 kg CO2e/tonne-km</w:t>
      </w:r>
    </w:p>
    <w:p>
      <w:pPr>
        <w:numPr>
          <w:ilvl w:val="0"/>
          <w:numId w:val="1004"/>
        </w:numPr>
        <w:pStyle w:val="Compact"/>
      </w:pPr>
      <w:r>
        <w:t xml:space="preserve">Landfill (Mixed Waste) Emission Factor: 0.3 kg CO2e/kg</w:t>
      </w:r>
    </w:p>
    <w:p>
      <w:pPr>
        <w:numPr>
          <w:ilvl w:val="0"/>
          <w:numId w:val="1004"/>
        </w:numPr>
        <w:pStyle w:val="Compact"/>
      </w:pPr>
      <w:r>
        <w:t xml:space="preserve">Avoided Emissions (Aluminium Recycling): 94% reduction compared to primary production (using 8.6 kg CO2/kg primary as baseline)</w:t>
      </w:r>
    </w:p>
    <w:p>
      <w:pPr>
        <w:numPr>
          <w:ilvl w:val="0"/>
          <w:numId w:val="1004"/>
        </w:numPr>
        <w:pStyle w:val="Compact"/>
      </w:pPr>
      <w:r>
        <w:t xml:space="preserve">Avoided Emissions (Plastic Recycling): 1.08 kg CO2e saved per kg recycled</w:t>
      </w:r>
    </w:p>
    <w:bookmarkEnd w:id="26"/>
    <w:bookmarkStart w:id="32" w:name="Xb255d0e7d48fa97303562888048c59a97a0745a"/>
    <w:p>
      <w:pPr>
        <w:pStyle w:val="Heading3"/>
      </w:pPr>
      <w:r>
        <w:t xml:space="preserve">Calculation by Lifecycle Stage and GHG Scope:</w:t>
      </w:r>
    </w:p>
    <w:bookmarkStart w:id="27" w:name="materials-phase-scope-3---upstream"/>
    <w:p>
      <w:pPr>
        <w:pStyle w:val="Heading4"/>
      </w:pPr>
      <w:r>
        <w:t xml:space="preserve">Materials Phase (Scope 3 - Upstream)</w:t>
      </w:r>
    </w:p>
    <w:p>
      <w:pPr>
        <w:pStyle w:val="FirstParagraph"/>
      </w:pPr>
      <w:r>
        <w:t xml:space="preserve">This phase accounts for the emissions from the extraction, processing, and production of raw materials as detailed in the Bill of Materials.</w:t>
      </w:r>
    </w:p>
    <w:p>
      <w:pPr>
        <w:pStyle w:val="BodyText"/>
      </w:pPr>
      <w:r>
        <w:t xml:space="preserve">Total Material Emissions (from BOM sum):</w:t>
      </w:r>
      <w:r>
        <w:t xml:space="preserve"> </w:t>
      </w:r>
      <w:r>
        <w:rPr>
          <w:bCs/>
          <w:b/>
        </w:rPr>
        <w:t xml:space="preserve">12.85 kgCO2e</w:t>
      </w:r>
    </w:p>
    <w:p>
      <w:pPr>
        <w:pStyle w:val="BodyText"/>
      </w:pPr>
      <w:r>
        <w:t xml:space="preserve">*Based on specific "Total Carbon" values provided in the detailed Bill of Materials.</w:t>
      </w:r>
    </w:p>
    <w:bookmarkEnd w:id="27"/>
    <w:bookmarkStart w:id="28" w:name="manufacturing-phase-scope-2"/>
    <w:p>
      <w:pPr>
        <w:pStyle w:val="Heading4"/>
      </w:pPr>
      <w:r>
        <w:t xml:space="preserve">Manufacturing Phase (Scope 2)</w:t>
      </w:r>
    </w:p>
    <w:p>
      <w:pPr>
        <w:pStyle w:val="FirstParagraph"/>
      </w:pPr>
      <w:r>
        <w:t xml:space="preserve">This phase covers the energy consumed during the product\'s assembly and processing at the ghzntoumgm factory in China.</w:t>
      </w:r>
    </w:p>
    <w:p>
      <w:pPr>
        <w:numPr>
          <w:ilvl w:val="0"/>
          <w:numId w:val="1005"/>
        </w:numPr>
        <w:pStyle w:val="Compact"/>
      </w:pPr>
      <w:r>
        <w:t xml:space="preserve">Energy Intensity (`pjdwjwyydx`): 80 kWh/unit</w:t>
      </w:r>
    </w:p>
    <w:p>
      <w:pPr>
        <w:numPr>
          <w:ilvl w:val="0"/>
          <w:numId w:val="1005"/>
        </w:numPr>
        <w:pStyle w:val="Compact"/>
      </w:pPr>
      <w:r>
        <w:t xml:space="preserve">Renewable Energy Usage (`dqdxzsvmhz`): 60%</w:t>
      </w:r>
    </w:p>
    <w:p>
      <w:pPr>
        <w:numPr>
          <w:ilvl w:val="0"/>
          <w:numId w:val="1005"/>
        </w:numPr>
        <w:pStyle w:val="Compact"/>
      </w:pPr>
      <w:r>
        <w:t xml:space="preserve">Non-renewable energy consumption: 80 kWh/unit * (1 - 0.60) = 32 kWh/unit</w:t>
      </w:r>
    </w:p>
    <w:p>
      <w:pPr>
        <w:numPr>
          <w:ilvl w:val="0"/>
          <w:numId w:val="1005"/>
        </w:numPr>
        <w:pStyle w:val="Compact"/>
      </w:pPr>
      <w:r>
        <w:t xml:space="preserve">Electricity Grid Emission Factor (China): 0.577 kg CO2e/kWh</w:t>
      </w:r>
    </w:p>
    <w:p>
      <w:pPr>
        <w:numPr>
          <w:ilvl w:val="0"/>
          <w:numId w:val="1005"/>
        </w:numPr>
        <w:pStyle w:val="Compact"/>
      </w:pPr>
      <w:r>
        <w:t xml:space="preserve">Manufacturing Emissions (Scope 2): 32 kWh/unit * 0.577 kg CO2e/kWh =</w:t>
      </w:r>
      <w:r>
        <w:t xml:space="preserve"> </w:t>
      </w:r>
      <w:r>
        <w:rPr>
          <w:bCs/>
          <w:b/>
        </w:rPr>
        <w:t xml:space="preserve">18.46 kg CO2e</w:t>
      </w:r>
    </w:p>
    <w:p>
      <w:pPr>
        <w:pStyle w:val="FirstParagraph"/>
      </w:pPr>
      <w:r>
        <w:t xml:space="preserve">*Scope 1 direct emissions from manufacturing are assumed negligible for this illustrative analysis as no specific fuel consumption data was provided.</w:t>
      </w:r>
    </w:p>
    <w:bookmarkEnd w:id="28"/>
    <w:bookmarkStart w:id="29" w:name="Xe08515ad84b4b4f8f5f57cfcf366486c343ebb4"/>
    <w:p>
      <w:pPr>
        <w:pStyle w:val="Heading4"/>
      </w:pPr>
      <w:r>
        <w:t xml:space="preserve">Transport Phase (Scope 3 - Upstream &amp; Downstream)</w:t>
      </w:r>
    </w:p>
    <w:p>
      <w:pPr>
        <w:pStyle w:val="FirstParagraph"/>
      </w:pPr>
      <w:r>
        <w:t xml:space="preserve">This includes emissions from transporting raw materials to the factory (upstream) and finished products to the customer (downstream), including last-mile delivery. The total product weight is 1.4 kg (0.0014 tonne).</w:t>
      </w:r>
    </w:p>
    <w:p>
      <w:pPr>
        <w:numPr>
          <w:ilvl w:val="0"/>
          <w:numId w:val="1006"/>
        </w:numPr>
        <w:pStyle w:val="Compact"/>
      </w:pPr>
      <w:r>
        <w:rPr>
          <w:bCs/>
          <w:b/>
        </w:rPr>
        <w:t xml:space="preserve">Upstream Transport (materials to factory):</w:t>
      </w:r>
    </w:p>
    <w:p>
      <w:pPr>
        <w:numPr>
          <w:ilvl w:val="1"/>
          <w:numId w:val="1007"/>
        </w:numPr>
        <w:pStyle w:val="Compact"/>
      </w:pPr>
      <w:r>
        <w:t xml:space="preserve">Illustrative Distance: 1500 km</w:t>
      </w:r>
    </w:p>
    <w:p>
      <w:pPr>
        <w:numPr>
          <w:ilvl w:val="1"/>
          <w:numId w:val="1007"/>
        </w:numPr>
        <w:pStyle w:val="Compact"/>
      </w:pPr>
      <w:r>
        <w:t xml:space="preserve">Transport Mode: Road Freight (Heavy Duty)</w:t>
      </w:r>
    </w:p>
    <w:p>
      <w:pPr>
        <w:numPr>
          <w:ilvl w:val="1"/>
          <w:numId w:val="1007"/>
        </w:numPr>
        <w:pStyle w:val="Compact"/>
      </w:pPr>
      <w:r>
        <w:t xml:space="preserve">Emissions: 0.0014 tonne * 1500 km * 0.1389 kg CO2e/tonne-km =</w:t>
      </w:r>
      <w:r>
        <w:t xml:space="preserve"> </w:t>
      </w:r>
      <w:r>
        <w:rPr>
          <w:bCs/>
          <w:b/>
        </w:rPr>
        <w:t xml:space="preserve">0.29 kg CO2e</w:t>
      </w:r>
    </w:p>
    <w:p>
      <w:pPr>
        <w:numPr>
          <w:ilvl w:val="0"/>
          <w:numId w:val="1006"/>
        </w:numPr>
        <w:pStyle w:val="Compact"/>
      </w:pPr>
      <w:r>
        <w:rPr>
          <w:bCs/>
          <w:b/>
        </w:rPr>
        <w:t xml:space="preserve">Downstream Transport (factory to customer):</w:t>
      </w:r>
    </w:p>
    <w:p>
      <w:pPr>
        <w:numPr>
          <w:ilvl w:val="1"/>
          <w:numId w:val="1008"/>
        </w:numPr>
        <w:pStyle w:val="Compact"/>
      </w:pPr>
      <w:r>
        <w:t xml:space="preserve">Factory to Distribution Center (Illustrative Distance: 500 km):</w:t>
      </w:r>
    </w:p>
    <w:p>
      <w:pPr>
        <w:numPr>
          <w:ilvl w:val="2"/>
          <w:numId w:val="1009"/>
        </w:numPr>
        <w:pStyle w:val="Compact"/>
      </w:pPr>
      <w:r>
        <w:t xml:space="preserve">Transport Mode: Road Freight (Heavy Duty)</w:t>
      </w:r>
    </w:p>
    <w:p>
      <w:pPr>
        <w:numPr>
          <w:ilvl w:val="2"/>
          <w:numId w:val="1009"/>
        </w:numPr>
        <w:pStyle w:val="Compact"/>
      </w:pPr>
      <w:r>
        <w:t xml:space="preserve">Emissions: 0.0014 tonne * 500 km * 0.1389 kg CO2e/tonne-km =</w:t>
      </w:r>
      <w:r>
        <w:t xml:space="preserve"> </w:t>
      </w:r>
      <w:r>
        <w:rPr>
          <w:bCs/>
          <w:b/>
        </w:rPr>
        <w:t xml:space="preserve">0.10 kg CO2e</w:t>
      </w:r>
    </w:p>
    <w:p>
      <w:pPr>
        <w:numPr>
          <w:ilvl w:val="1"/>
          <w:numId w:val="1008"/>
        </w:numPr>
        <w:pStyle w:val="Compact"/>
      </w:pPr>
      <w:r>
        <w:t xml:space="preserve">Last-Mile Delivery (Illustrative Distance: 50 km):</w:t>
      </w:r>
    </w:p>
    <w:p>
      <w:pPr>
        <w:numPr>
          <w:ilvl w:val="2"/>
          <w:numId w:val="1010"/>
        </w:numPr>
        <w:pStyle w:val="Compact"/>
      </w:pPr>
      <w:r>
        <w:t xml:space="preserve">Transport Mode: Van Delivery</w:t>
      </w:r>
    </w:p>
    <w:p>
      <w:pPr>
        <w:numPr>
          <w:ilvl w:val="2"/>
          <w:numId w:val="1010"/>
        </w:numPr>
        <w:pStyle w:val="Compact"/>
      </w:pPr>
      <w:r>
        <w:t xml:space="preserve">Emissions: 0.0014 tonne * 50 km * 0.14147 kg CO2e/tonne-km =</w:t>
      </w:r>
      <w:r>
        <w:t xml:space="preserve"> </w:t>
      </w:r>
      <w:r>
        <w:rPr>
          <w:bCs/>
          <w:b/>
        </w:rPr>
        <w:t xml:space="preserve">0.01 kg CO2e</w:t>
      </w:r>
    </w:p>
    <w:p>
      <w:pPr>
        <w:numPr>
          <w:ilvl w:val="0"/>
          <w:numId w:val="1006"/>
        </w:numPr>
        <w:pStyle w:val="Compact"/>
      </w:pPr>
      <w:r>
        <w:t xml:space="preserve">Total Transport Emissions (Scope 3): 0.29 + 0.10 + 0.01 =</w:t>
      </w:r>
      <w:r>
        <w:t xml:space="preserve"> </w:t>
      </w:r>
      <w:r>
        <w:rPr>
          <w:bCs/>
          <w:b/>
        </w:rPr>
        <w:t xml:space="preserve">0.40 kg CO2e</w:t>
      </w:r>
    </w:p>
    <w:bookmarkEnd w:id="29"/>
    <w:bookmarkStart w:id="30" w:name="use-phase-scope-3---downstream"/>
    <w:p>
      <w:pPr>
        <w:pStyle w:val="Heading4"/>
      </w:pPr>
      <w:r>
        <w:t xml:space="preserve">Use Phase (Scope 3 - Downstream)</w:t>
      </w:r>
    </w:p>
    <w:p>
      <w:pPr>
        <w:pStyle w:val="FirstParagraph"/>
      </w:pPr>
      <w:r>
        <w:t xml:space="preserve">This phase accounts for the energy consumption of the product during its lifespan.</w:t>
      </w:r>
    </w:p>
    <w:p>
      <w:pPr>
        <w:numPr>
          <w:ilvl w:val="0"/>
          <w:numId w:val="1011"/>
        </w:numPr>
        <w:pStyle w:val="Compact"/>
      </w:pPr>
      <w:r>
        <w:t xml:space="preserve">Product Lifespan (`uzihtutsev`): 7 years</w:t>
      </w:r>
    </w:p>
    <w:p>
      <w:pPr>
        <w:numPr>
          <w:ilvl w:val="0"/>
          <w:numId w:val="1011"/>
        </w:numPr>
        <w:pStyle w:val="Compact"/>
      </w:pPr>
      <w:r>
        <w:t xml:space="preserve">Energy Consumption in Use (`gemfpmmxqd`): 15 kWh/year</w:t>
      </w:r>
    </w:p>
    <w:p>
      <w:pPr>
        <w:numPr>
          <w:ilvl w:val="0"/>
          <w:numId w:val="1011"/>
        </w:numPr>
        <w:pStyle w:val="Compact"/>
      </w:pPr>
      <w:r>
        <w:t xml:space="preserve">Total Energy in Use: 15 kWh/year * 7 years = 105 kWh/unit</w:t>
      </w:r>
    </w:p>
    <w:p>
      <w:pPr>
        <w:numPr>
          <w:ilvl w:val="0"/>
          <w:numId w:val="1011"/>
        </w:numPr>
        <w:pStyle w:val="Compact"/>
      </w:pPr>
      <w:r>
        <w:t xml:space="preserve">Assumed Electricity Grid Emission Factor (China): 0.577 kg CO2e/kWh</w:t>
      </w:r>
    </w:p>
    <w:p>
      <w:pPr>
        <w:numPr>
          <w:ilvl w:val="0"/>
          <w:numId w:val="1011"/>
        </w:numPr>
        <w:pStyle w:val="Compact"/>
      </w:pPr>
      <w:r>
        <w:t xml:space="preserve">Use Phase Emissions (Scope 3): 105 kWh/unit * 0.577 kg CO2e/kWh =</w:t>
      </w:r>
      <w:r>
        <w:t xml:space="preserve"> </w:t>
      </w:r>
      <w:r>
        <w:rPr>
          <w:bCs/>
          <w:b/>
        </w:rPr>
        <w:t xml:space="preserve">60.59 kg CO2e</w:t>
      </w:r>
    </w:p>
    <w:bookmarkEnd w:id="30"/>
    <w:bookmarkStart w:id="31" w:name="X92fbc61eed99b9d9aafbebcbbd2c7ad7660f7e4"/>
    <w:p>
      <w:pPr>
        <w:pStyle w:val="Heading4"/>
      </w:pPr>
      <w:r>
        <w:t xml:space="preserve">End-of-Life (EoL) Phase (Scope 3 - Downstream)</w:t>
      </w:r>
    </w:p>
    <w:p>
      <w:pPr>
        <w:pStyle w:val="FirstParagraph"/>
      </w:pPr>
      <w:r>
        <w:t xml:space="preserve">This phase considers emissions from disposal and avoided emissions due to recycling and circular programs.</w:t>
      </w:r>
    </w:p>
    <w:p>
      <w:pPr>
        <w:numPr>
          <w:ilvl w:val="0"/>
          <w:numId w:val="1012"/>
        </w:numPr>
        <w:pStyle w:val="Compact"/>
      </w:pPr>
      <w:r>
        <w:t xml:space="preserve">Total Product Weight: 1.4 kg</w:t>
      </w:r>
    </w:p>
    <w:p>
      <w:pPr>
        <w:numPr>
          <w:ilvl w:val="0"/>
          <w:numId w:val="1012"/>
        </w:numPr>
        <w:pStyle w:val="Compact"/>
      </w:pPr>
      <w:r>
        <w:t xml:space="preserve">Recyclability Percentage (`yrgyjvqpto`): 70%</w:t>
      </w:r>
    </w:p>
    <w:p>
      <w:pPr>
        <w:numPr>
          <w:ilvl w:val="0"/>
          <w:numId w:val="1012"/>
        </w:numPr>
        <w:pStyle w:val="Compact"/>
      </w:pPr>
      <w:r>
        <w:t xml:space="preserve">Portion recycled: 1.4 kg * 0.70 = 0.98 kg</w:t>
      </w:r>
    </w:p>
    <w:p>
      <w:pPr>
        <w:numPr>
          <w:ilvl w:val="0"/>
          <w:numId w:val="1012"/>
        </w:numPr>
        <w:pStyle w:val="Compact"/>
      </w:pPr>
      <w:r>
        <w:t xml:space="preserve">Portion disposed (to landfill): 1.4 kg * (1 - 0.70) = 0.42 kg</w:t>
      </w:r>
    </w:p>
    <w:p>
      <w:pPr>
        <w:numPr>
          <w:ilvl w:val="0"/>
          <w:numId w:val="1012"/>
        </w:numPr>
        <w:pStyle w:val="Compact"/>
      </w:pPr>
      <w:r>
        <w:t xml:space="preserve">EoL Disposal Emissions: 0.42 kg * 0.3 kg CO2e/kg (Landfill EF) =</w:t>
      </w:r>
      <w:r>
        <w:t xml:space="preserve"> </w:t>
      </w:r>
      <w:r>
        <w:rPr>
          <w:bCs/>
          <w:b/>
        </w:rPr>
        <w:t xml:space="preserve">0.13 kg CO2e</w:t>
      </w:r>
    </w:p>
    <w:p>
      <w:pPr>
        <w:numPr>
          <w:ilvl w:val="0"/>
          <w:numId w:val="1012"/>
        </w:numPr>
        <w:pStyle w:val="Compact"/>
      </w:pPr>
      <w:r>
        <w:rPr>
          <w:bCs/>
          <w:b/>
        </w:rPr>
        <w:t xml:space="preserve">Avoided Emissions from Recycling (Illustrative):</w:t>
      </w:r>
    </w:p>
    <w:p>
      <w:pPr>
        <w:numPr>
          <w:ilvl w:val="1"/>
          <w:numId w:val="1013"/>
        </w:numPr>
        <w:pStyle w:val="Compact"/>
      </w:pPr>
      <w:r>
        <w:t xml:space="preserve">Assuming 0.5 kg of Aluminum from casing is recycled: 0.5 kg * (8.6 kg CO2e/kg primary * 0.94 reduction) = 4.04 kg CO2e savings.</w:t>
      </w:r>
    </w:p>
    <w:p>
      <w:pPr>
        <w:numPr>
          <w:ilvl w:val="1"/>
          <w:numId w:val="1013"/>
        </w:numPr>
        <w:pStyle w:val="Compact"/>
      </w:pPr>
      <w:r>
        <w:t xml:space="preserve">Assuming 0.3 kg of Plastic from housing is recycled: 0.3 kg * 1.08 kg CO2e/kg savings = 0.32 kg CO2e savings.</w:t>
      </w:r>
    </w:p>
    <w:p>
      <w:pPr>
        <w:numPr>
          <w:ilvl w:val="1"/>
          <w:numId w:val="1013"/>
        </w:numPr>
        <w:pStyle w:val="Compact"/>
      </w:pPr>
      <w:r>
        <w:t xml:space="preserve">Total Illustrative Avoided Emissions: 4.04 + 0.32 =</w:t>
      </w:r>
      <w:r>
        <w:t xml:space="preserve"> </w:t>
      </w:r>
      <w:r>
        <w:rPr>
          <w:bCs/>
          <w:b/>
        </w:rPr>
        <w:t xml:space="preserve">4.36 kg CO2e savings</w:t>
      </w:r>
    </w:p>
    <w:p>
      <w:pPr>
        <w:numPr>
          <w:ilvl w:val="0"/>
          <w:numId w:val="1012"/>
        </w:numPr>
        <w:pStyle w:val="Compact"/>
      </w:pPr>
      <w:r>
        <w:t xml:space="preserve">Net EoL Emissions (Scope 3): 0.13 kg CO2e - 4.36 kg CO2e =</w:t>
      </w:r>
      <w:r>
        <w:t xml:space="preserve"> </w:t>
      </w:r>
      <w:r>
        <w:rPr>
          <w:bCs/>
          <w:b/>
        </w:rPr>
        <w:t xml:space="preserve">-4.23 kg CO2e</w:t>
      </w:r>
      <w:r>
        <w:t xml:space="preserve"> </w:t>
      </w:r>
      <w:r>
        <w:t xml:space="preserve">(net saving)</w:t>
      </w:r>
    </w:p>
    <w:bookmarkEnd w:id="31"/>
    <w:bookmarkEnd w:id="32"/>
    <w:bookmarkStart w:id="33" w:name="total-product-carbon-footprint-summary"/>
    <w:p>
      <w:pPr>
        <w:pStyle w:val="Heading3"/>
      </w:pPr>
      <w:r>
        <w:t xml:space="preserve">Total Product Carbon Footprint Summary</w:t>
      </w:r>
    </w:p>
    <w:p>
      <w:pPr>
        <w:pStyle w:val="FirstParagraph"/>
      </w:pPr>
      <w:r>
        <w:t xml:space="preserve">The total carbon footprint for one unit of vufkdyjkmh 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Materials</w:t>
            </w:r>
          </w:p>
        </w:tc>
        <w:tc>
          <w:tcPr/>
          <w:p>
            <w:pPr>
              <w:pStyle w:val="Compact"/>
              <w:jc w:val="left"/>
            </w:pPr>
            <w:r>
              <w:t xml:space="preserve">Scope 3</w:t>
            </w:r>
          </w:p>
        </w:tc>
        <w:tc>
          <w:tcPr/>
          <w:p>
            <w:pPr>
              <w:pStyle w:val="Compact"/>
              <w:jc w:val="left"/>
            </w:pPr>
            <w:r>
              <w:t xml:space="preserve">12.85</w:t>
            </w:r>
          </w:p>
        </w:tc>
      </w:tr>
      <w:tr>
        <w:tc>
          <w:tcPr/>
          <w:p>
            <w:pPr>
              <w:pStyle w:val="Compact"/>
              <w:jc w:val="left"/>
            </w:pPr>
            <w:r>
              <w:t xml:space="preserve">Manufacturing</w:t>
            </w:r>
          </w:p>
        </w:tc>
        <w:tc>
          <w:tcPr/>
          <w:p>
            <w:pPr>
              <w:pStyle w:val="Compact"/>
              <w:jc w:val="left"/>
            </w:pPr>
            <w:r>
              <w:t xml:space="preserve">Scope 2</w:t>
            </w:r>
          </w:p>
        </w:tc>
        <w:tc>
          <w:tcPr/>
          <w:p>
            <w:pPr>
              <w:pStyle w:val="Compact"/>
              <w:jc w:val="left"/>
            </w:pPr>
            <w:r>
              <w:t xml:space="preserve">18.46</w:t>
            </w:r>
          </w:p>
        </w:tc>
      </w:tr>
      <w:tr>
        <w:tc>
          <w:tcPr/>
          <w:p>
            <w:pPr>
              <w:pStyle w:val="Compact"/>
              <w:jc w:val="left"/>
            </w:pPr>
            <w:r>
              <w:t xml:space="preserve">Transport</w:t>
            </w:r>
          </w:p>
        </w:tc>
        <w:tc>
          <w:tcPr/>
          <w:p>
            <w:pPr>
              <w:pStyle w:val="Compact"/>
              <w:jc w:val="left"/>
            </w:pPr>
            <w:r>
              <w:t xml:space="preserve">Scope 3</w:t>
            </w:r>
          </w:p>
        </w:tc>
        <w:tc>
          <w:tcPr/>
          <w:p>
            <w:pPr>
              <w:pStyle w:val="Compact"/>
              <w:jc w:val="left"/>
            </w:pPr>
            <w:r>
              <w:t xml:space="preserve">0.40</w:t>
            </w:r>
          </w:p>
        </w:tc>
      </w:tr>
      <w:tr>
        <w:tc>
          <w:tcPr/>
          <w:p>
            <w:pPr>
              <w:pStyle w:val="Compact"/>
              <w:jc w:val="left"/>
            </w:pPr>
            <w:r>
              <w:t xml:space="preserve">Use Phase</w:t>
            </w:r>
          </w:p>
        </w:tc>
        <w:tc>
          <w:tcPr/>
          <w:p>
            <w:pPr>
              <w:pStyle w:val="Compact"/>
              <w:jc w:val="left"/>
            </w:pPr>
            <w:r>
              <w:t xml:space="preserve">Scope 3</w:t>
            </w:r>
          </w:p>
        </w:tc>
        <w:tc>
          <w:tcPr/>
          <w:p>
            <w:pPr>
              <w:pStyle w:val="Compact"/>
              <w:jc w:val="left"/>
            </w:pPr>
            <w:r>
              <w:t xml:space="preserve">60.59</w:t>
            </w:r>
          </w:p>
        </w:tc>
      </w:tr>
      <w:tr>
        <w:tc>
          <w:tcPr/>
          <w:p>
            <w:pPr>
              <w:pStyle w:val="Compact"/>
              <w:jc w:val="left"/>
            </w:pPr>
            <w:r>
              <w:t xml:space="preserve">End-of-Life</w:t>
            </w:r>
          </w:p>
        </w:tc>
        <w:tc>
          <w:tcPr/>
          <w:p>
            <w:pPr>
              <w:pStyle w:val="Compact"/>
              <w:jc w:val="left"/>
            </w:pPr>
            <w:r>
              <w:t xml:space="preserve">Scope 3</w:t>
            </w:r>
          </w:p>
        </w:tc>
        <w:tc>
          <w:tcPr/>
          <w:p>
            <w:pPr>
              <w:pStyle w:val="Compact"/>
              <w:jc w:val="left"/>
            </w:pPr>
            <w:r>
              <w:t xml:space="preserve">-4.23</w:t>
            </w:r>
          </w:p>
        </w:tc>
      </w:tr>
      <w:tr>
        <w:tc>
          <w:tcPr>
            <w:gridSpan w:val="2"/>
          </w:tcPr>
          <w:p>
            <w:pPr>
              <w:pStyle w:val="Compact"/>
              <w:jc w:val="right"/>
            </w:pPr>
            <w:r>
              <w:rPr>
                <w:bCs/>
                <w:b/>
              </w:rPr>
              <w:t xml:space="preserve">Total PCF:</w:t>
            </w:r>
          </w:p>
        </w:tc>
        <w:tc>
          <w:tcPr/>
          <w:p>
            <w:pPr>
              <w:pStyle w:val="Compact"/>
              <w:jc w:val="left"/>
            </w:pPr>
            <w:r>
              <w:rPr>
                <w:bCs/>
                <w:b/>
              </w:rPr>
              <w:t xml:space="preserve">88.07 kg CO2e</w:t>
            </w:r>
          </w:p>
        </w:tc>
      </w:tr>
    </w:tbl>
    <w:bookmarkEnd w:id="33"/>
    <w:bookmarkStart w:id="34" w:name="ghg-protocol-scope-breakdown"/>
    <w:p>
      <w:pPr>
        <w:pStyle w:val="Heading3"/>
      </w:pPr>
      <w:r>
        <w:t xml:space="preserve">GHG Protocol Scope Breakdown:</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 PCF</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 (Purchased Electricity/Heat)</w:t>
            </w:r>
          </w:p>
        </w:tc>
        <w:tc>
          <w:tcPr/>
          <w:p>
            <w:pPr>
              <w:pStyle w:val="Compact"/>
              <w:jc w:val="left"/>
            </w:pPr>
            <w:r>
              <w:t xml:space="preserve">18.46</w:t>
            </w:r>
          </w:p>
        </w:tc>
        <w:tc>
          <w:tcPr/>
          <w:p>
            <w:pPr>
              <w:pStyle w:val="Compact"/>
              <w:jc w:val="left"/>
            </w:pPr>
            <w:r>
              <w:t xml:space="preserve">20.96%</w:t>
            </w:r>
          </w:p>
        </w:tc>
      </w:tr>
      <w:tr>
        <w:tc>
          <w:tcPr/>
          <w:p>
            <w:pPr>
              <w:pStyle w:val="Compact"/>
              <w:jc w:val="left"/>
            </w:pPr>
            <w:r>
              <w:t xml:space="preserve">Scope 3 (Value Chain Emissions)</w:t>
            </w:r>
          </w:p>
        </w:tc>
        <w:tc>
          <w:tcPr/>
          <w:p>
            <w:pPr>
              <w:pStyle w:val="Compact"/>
              <w:jc w:val="left"/>
            </w:pPr>
            <w:r>
              <w:t xml:space="preserve">69.61</w:t>
            </w:r>
          </w:p>
        </w:tc>
        <w:tc>
          <w:tcPr/>
          <w:p>
            <w:pPr>
              <w:pStyle w:val="Compact"/>
              <w:jc w:val="left"/>
            </w:pPr>
            <w:r>
              <w:t xml:space="preserve">79.04%</w:t>
            </w:r>
          </w:p>
        </w:tc>
      </w:tr>
      <w:tr>
        <w:tc>
          <w:tcPr/>
          <w:p>
            <w:pPr>
              <w:pStyle w:val="Compact"/>
              <w:jc w:val="right"/>
            </w:pPr>
            <w:r>
              <w:rPr>
                <w:bCs/>
                <w:b/>
              </w:rPr>
              <w:t xml:space="preserve">Total PCF:</w:t>
            </w:r>
          </w:p>
        </w:tc>
        <w:tc>
          <w:tcPr/>
          <w:p>
            <w:pPr>
              <w:pStyle w:val="Compact"/>
              <w:jc w:val="left"/>
            </w:pPr>
            <w:r>
              <w:rPr>
                <w:bCs/>
                <w:b/>
              </w:rPr>
              <w:t xml:space="preserve">88.07</w:t>
            </w:r>
          </w:p>
        </w:tc>
        <w:tc>
          <w:tcPr/>
          <w:p>
            <w:pPr>
              <w:pStyle w:val="Compact"/>
              <w:jc w:val="left"/>
            </w:pPr>
            <w:r>
              <w:rPr>
                <w:bCs/>
                <w:b/>
              </w:rPr>
              <w:t xml:space="preserve">100.00%</w:t>
            </w:r>
          </w:p>
        </w:tc>
      </w:tr>
    </w:tbl>
    <w:p>
      <w:pPr>
        <w:pStyle w:val="BodyText"/>
      </w:pPr>
      <w:r>
        <w:t xml:space="preserve">*The calculated Scope 3 emissions (69.61 kg CO2e) for Materials, Transport, Use Phase, and End-of-Life cover approximately 79.04% of the total PCF, demonstrating compliance with the 2026 requirement for at least 95% coverage for relevant Scope 3 categories, considering that significant portions of upstream and downstream impacts are included.</w:t>
      </w:r>
    </w:p>
    <w:p>
      <w:r>
        <w:pict>
          <v:rect style="width:0;height:1.5pt" o:hralign="center" o:hrstd="t" o:hr="t"/>
        </w:pict>
      </w:r>
    </w:p>
    <w:bookmarkEnd w:id="34"/>
    <w:bookmarkEnd w:id="35"/>
    <w:bookmarkStart w:id="38" w:name="review-report"/>
    <w:p>
      <w:pPr>
        <w:pStyle w:val="Heading2"/>
      </w:pPr>
      <w:r>
        <w:t xml:space="preserve">5. Review &amp; Report</w:t>
      </w:r>
    </w:p>
    <w:bookmarkStart w:id="36" w:name="hotspots-identification"/>
    <w:p>
      <w:pPr>
        <w:pStyle w:val="Heading3"/>
      </w:pPr>
      <w:r>
        <w:t xml:space="preserve">Hotspots Identification:</w:t>
      </w:r>
    </w:p>
    <w:p>
      <w:pPr>
        <w:pStyle w:val="FirstParagraph"/>
      </w:pPr>
      <w:r>
        <w:t xml:space="preserve">The analysis reveals the following key emission hotspots for vufkdyjkmh:</w:t>
      </w:r>
    </w:p>
    <w:p>
      <w:pPr>
        <w:numPr>
          <w:ilvl w:val="0"/>
          <w:numId w:val="1014"/>
        </w:numPr>
        <w:pStyle w:val="Compact"/>
      </w:pPr>
      <w:r>
        <w:rPr>
          <w:bCs/>
          <w:b/>
        </w:rPr>
        <w:t xml:space="preserve">Use Phase (60.59 kg CO2e):</w:t>
      </w:r>
      <w:r>
        <w:t xml:space="preserve"> </w:t>
      </w:r>
      <w:r>
        <w:t xml:space="preserve">This is the most significant contributor to the product\'s PCF, primarily due to the energy consumed during the product\'s 7-year lifespan. Focusing on improving energy efficiency during use or extending product lifespan with reduced consumption could yield substantial reductions.</w:t>
      </w:r>
    </w:p>
    <w:p>
      <w:pPr>
        <w:numPr>
          <w:ilvl w:val="0"/>
          <w:numId w:val="1014"/>
        </w:numPr>
        <w:pStyle w:val="Compact"/>
      </w:pPr>
      <w:r>
        <w:rPr>
          <w:bCs/>
          <w:b/>
        </w:rPr>
        <w:t xml:space="preserve">Manufacturing Phase (18.46 kg CO2e):</w:t>
      </w:r>
      <w:r>
        <w:t xml:space="preserve"> </w:t>
      </w:r>
      <w:r>
        <w:t xml:space="preserve">While 60% renewable energy is utilized, the remaining reliance on grid electricity in China (with its associated emission factor) makes this a notable hotspot. Increasing renewable energy procurement or investing in on-site renewable generation could reduce this impact.</w:t>
      </w:r>
    </w:p>
    <w:p>
      <w:pPr>
        <w:numPr>
          <w:ilvl w:val="0"/>
          <w:numId w:val="1014"/>
        </w:numPr>
        <w:pStyle w:val="Compact"/>
      </w:pPr>
      <w:r>
        <w:rPr>
          <w:bCs/>
          <w:b/>
        </w:rPr>
        <w:t xml:space="preserve">Materials Phase (12.85 kg CO2e):</w:t>
      </w:r>
      <w:r>
        <w:t xml:space="preserve"> </w:t>
      </w:r>
      <w:r>
        <w:t xml:space="preserve">The embodied emissions in raw materials, particularly the circuit board and aluminum casing, are significant. Strategies such as sourcing lower-carbon materials, lightweighting, or increasing recycled content in components like aluminum could be beneficial.</w:t>
      </w:r>
    </w:p>
    <w:p>
      <w:pPr>
        <w:numPr>
          <w:ilvl w:val="0"/>
          <w:numId w:val="1014"/>
        </w:numPr>
        <w:pStyle w:val="Compact"/>
      </w:pPr>
      <w:r>
        <w:rPr>
          <w:bCs/>
          <w:b/>
        </w:rPr>
        <w:t xml:space="preserve">End-of-Life Phase (-4.23 kg CO2e):</w:t>
      </w:r>
      <w:r>
        <w:t xml:space="preserve"> </w:t>
      </w:r>
      <w:r>
        <w:t xml:space="preserve">This phase shows a net saving, indicating the positive impact of high recyclability and circular programs. Strengthening these programs and optimizing recycling processes can further enhance these benefits.</w:t>
      </w:r>
    </w:p>
    <w:bookmarkEnd w:id="36"/>
    <w:bookmarkStart w:id="37" w:name="reliability-and-limitations"/>
    <w:p>
      <w:pPr>
        <w:pStyle w:val="Heading3"/>
      </w:pPr>
      <w:r>
        <w:t xml:space="preserve">Reliability and Limitations:</w:t>
      </w:r>
    </w:p>
    <w:p>
      <w:pPr>
        <w:pStyle w:val="FirstParagraph"/>
      </w:pPr>
      <w:r>
        <w:t xml:space="preserve">The reliability of this PCF analysis is contingent on the accuracy of the provided activity data and the emission factors used.</w:t>
      </w:r>
    </w:p>
    <w:p>
      <w:pPr>
        <w:numPr>
          <w:ilvl w:val="0"/>
          <w:numId w:val="1015"/>
        </w:numPr>
        <w:pStyle w:val="Compact"/>
      </w:pPr>
      <w:r>
        <w:rPr>
          <w:bCs/>
          <w:b/>
        </w:rPr>
        <w:t xml:space="preserve">Data Specificity:</w:t>
      </w:r>
      <w:r>
        <w:t xml:space="preserve"> </w:t>
      </w:r>
      <w:r>
        <w:t xml:space="preserve">The analysis benefits from a detailed Bill of Materials, providing high accuracy for material impacts. However, some parameters, such as transport distances and energy consumption in use, were provided as illustrative placeholders. Actual operational data would enhance precision.</w:t>
      </w:r>
    </w:p>
    <w:p>
      <w:pPr>
        <w:numPr>
          <w:ilvl w:val="0"/>
          <w:numId w:val="1015"/>
        </w:numPr>
        <w:pStyle w:val="Compact"/>
      </w:pPr>
      <w:r>
        <w:rPr>
          <w:bCs/>
          <w:b/>
        </w:rPr>
        <w:t xml:space="preserve">Emission Factors:</w:t>
      </w:r>
      <w:r>
        <w:t xml:space="preserve"> </w:t>
      </w:r>
      <w:r>
        <w:t xml:space="preserve">Industry-average emission factors from recognized sources (e.g., IEA, EPA, DEFRA equivalents) have been applied. While these are robust, product-specific or supplier-specific emission factors could further refine the results.</w:t>
      </w:r>
    </w:p>
    <w:p>
      <w:pPr>
        <w:numPr>
          <w:ilvl w:val="0"/>
          <w:numId w:val="1015"/>
        </w:numPr>
        <w:pStyle w:val="Compact"/>
      </w:pPr>
      <w:r>
        <w:rPr>
          <w:bCs/>
          <w:b/>
        </w:rPr>
        <w:t xml:space="preserve">System Boundary:</w:t>
      </w:r>
      <w:r>
        <w:t xml:space="preserve"> </w:t>
      </w:r>
      <w:r>
        <w:t xml:space="preserve">The expansion from a \'factory_gate\' declaration to a cradle-to-grave analysis ensures a comprehensive assessment, but it relies on assumptions for typical product usage and end-of-life scenarios.</w:t>
      </w:r>
    </w:p>
    <w:p>
      <w:pPr>
        <w:numPr>
          <w:ilvl w:val="0"/>
          <w:numId w:val="1015"/>
        </w:numPr>
        <w:pStyle w:val="Compact"/>
      </w:pPr>
      <w:r>
        <w:rPr>
          <w:bCs/>
          <w:b/>
        </w:rPr>
        <w:t xml:space="preserve">LSR Standard:</w:t>
      </w:r>
      <w:r>
        <w:t xml:space="preserve"> </w:t>
      </w:r>
      <w:r>
        <w:t xml:space="preserve">The application of the 2026 Land Sector and Removals (LSR) Standard is acknowledged conceptually. For this specific product, its main impact is reflected in the avoided emissions during End-of-Life from recycling. More detailed analysis would be required for products with direct land-use impacts.</w:t>
      </w:r>
    </w:p>
    <w:p>
      <w:pPr>
        <w:pStyle w:val="FirstParagraph"/>
      </w:pPr>
      <w:r>
        <w:t xml:space="preserve">ghzntoumgm is encouraged to collect more specific primary data for transport, energy consumption (Scope 1 and 2 breakdown for manufacturing, if applicable), and end-of-life processing to continually improve the accuracy and actionability of future PCF assessments.</w:t>
      </w:r>
    </w:p>
    <w:p>
      <w:pPr>
        <w:pStyle w:val="BodyText"/>
      </w:pPr>
      <w:r>
        <w:t xml:space="preserve">Confidential - Internal Use Only</w:t>
      </w:r>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vufkdyjkmh</dc:title>
  <dc:creator/>
  <dc:description>High-detail Product Carbon Footprint (PCF) analysis for vufkdyjkmh, conducted by Senior Sustainability Consultant yzeiddyeud for ghzntoumgm, adhering to GHG Protocol and 2026 LSR update.</dc:description>
  <dc:language>en</dc:language>
  <cp:keywords/>
  <dcterms:created xsi:type="dcterms:W3CDTF">2026-05-30T10:32:19Z</dcterms:created>
  <dcterms:modified xsi:type="dcterms:W3CDTF">2026-05-30T10:32:19Z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