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vpppqrsngq</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vpppqrsngq"/>
    <w:p>
      <w:pPr>
        <w:pStyle w:val="Heading2"/>
      </w:pPr>
      <w:r>
        <w:t xml:space="preserve">For: vpppqrsngq</w:t>
      </w:r>
    </w:p>
    <w:p>
      <w:pPr>
        <w:pStyle w:val="FirstParagraph"/>
      </w:pPr>
      <w:r>
        <w:t xml:space="preserve">Protocol Data (Accounting Standard): GHG Protocol</w:t>
      </w:r>
    </w:p>
    <w:p>
      <w:pPr>
        <w:pStyle w:val="BodyText"/>
      </w:pPr>
      <w:r>
        <w:t xml:space="preserve">Company Name: qqvpmjwepy</w:t>
      </w:r>
    </w:p>
    <w:p>
      <w:pPr>
        <w:pStyle w:val="BodyText"/>
      </w:pPr>
      <w:r>
        <w:t xml:space="preserve">Senior Sustainability Consultant: ldupkqkgys</w:t>
      </w:r>
    </w:p>
    <w:p>
      <w:pPr>
        <w:pStyle w:val="BodyText"/>
      </w:pPr>
      <w:r>
        <w:t xml:space="preserve">Disclaimer: This report is generated based on available data and industry standards. It provides an estimation of the product\'s carbon footprint and should be used for informational and strategic purposes.</w:t>
      </w:r>
    </w:p>
    <w:bookmarkEnd w:id="20"/>
    <w:bookmarkEnd w:id="21"/>
    <w:bookmarkStart w:id="22" w:name="Xafde3fa5a4696b0e488382b0f2551ae4112e376"/>
    <w:p>
      <w:pPr>
        <w:pStyle w:val="Heading1"/>
      </w:pPr>
      <w:r>
        <w:t xml:space="preserve">Product Carbon Footprint Analysis for vpppqrsngq</w:t>
      </w:r>
    </w:p>
    <w:p>
      <w:pPr>
        <w:pStyle w:val="FirstParagraph"/>
      </w:pPr>
      <w:r>
        <w:rPr>
          <w:bCs/>
          <w:b/>
        </w:rPr>
        <w:t xml:space="preserve">Generated Date:</w:t>
      </w:r>
      <w:r>
        <w:t xml:space="preserve"> </w:t>
      </w:r>
      <w:r>
        <w:t xml:space="preserve">May 21, 2026</w:t>
      </w:r>
    </w:p>
    <w:p>
      <w:pPr>
        <w:pStyle w:val="BodyText"/>
      </w:pPr>
      <w:r>
        <w:rPr>
          <w:bCs/>
          <w:b/>
        </w:rPr>
        <w:t xml:space="preserve">Company:</w:t>
      </w:r>
      <w:r>
        <w:t xml:space="preserve"> </w:t>
      </w:r>
      <w:r>
        <w:t xml:space="preserve">qqvpmjwepy</w:t>
      </w:r>
    </w:p>
    <w:p>
      <w:pPr>
        <w:pStyle w:val="BodyText"/>
      </w:pPr>
      <w:r>
        <w:rPr>
          <w:bCs/>
          <w:b/>
        </w:rPr>
        <w:t xml:space="preserve">Senior Sustainability Consultant:</w:t>
      </w:r>
      <w:r>
        <w:t xml:space="preserve"> </w:t>
      </w:r>
      <w:r>
        <w:t xml:space="preserve">ldupkqkgys</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\'vpppqrsngq\', conducted for \'qqvpmjwepy\' by \'ldupkqkgys\', Senior Sustainability Consultant. The analysis strictly adheres to the GHG Protocol standards, including the 2026 Land Sector and Removals (LSR) Standard update, and ensures over 95% Scope 3 coverage. The primary objective is to quantify the greenhouse gas emissions associated with \'vpppqrsngq\' across its lifecycle, from material acquisition to end-of-life, providing insights for emission reduction strategies. The functional unit for this study is 1.0 unit of \'vpppqrsngq\'. The system boundary is defined as \'factory_gate\' for the initial assessment, with a comprehensive lifecycle approach for subsequent phases. The final production country is China, with a supply chain focus on Europe.</w:t>
      </w:r>
    </w:p>
    <w:p>
      <w:r>
        <w:pict>
          <v:rect style="width:0;height:1.5pt" o:hralign="center" o:hrstd="t" o:hr="t"/>
        </w:pict>
      </w:r>
    </w:p>
    <w:bookmarkEnd w:id="23"/>
    <w:bookmarkStart w:id="28" w:name="define-scope"/>
    <w:p>
      <w:pPr>
        <w:pStyle w:val="Heading2"/>
      </w:pPr>
      <w:r>
        <w:t xml:space="preserve">1. Define Scope</w:t>
      </w:r>
    </w:p>
    <w:bookmarkStart w:id="24"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vpppqrsngq</w:t>
      </w:r>
      <w:r>
        <w:t xml:space="preserve">. All emissions are quantified relative to this unit, ensuring comparability and clear understanding of the product\'s environmental performance.</w:t>
      </w:r>
    </w:p>
    <w:bookmarkEnd w:id="24"/>
    <w:bookmarkStart w:id="25" w:name="system-boundaries"/>
    <w:p>
      <w:pPr>
        <w:pStyle w:val="Heading3"/>
      </w:pPr>
      <w:r>
        <w:t xml:space="preserve">1.2 System Boundaries</w:t>
      </w:r>
    </w:p>
    <w:p>
      <w:pPr>
        <w:pStyle w:val="FirstParagraph"/>
      </w:pPr>
      <w:r>
        <w:t xml:space="preserve">The primary system boundary for initial assessment is defined as</w:t>
      </w:r>
      <w:r>
        <w:t xml:space="preserve"> </w:t>
      </w:r>
      <w:r>
        <w:rPr>
          <w:bCs/>
          <w:b/>
        </w:rPr>
        <w:t xml:space="preserve">factory_gate</w:t>
      </w:r>
      <w:r>
        <w:t xml:space="preserve">. However, for a holistic PCF, the analysis extends to a comprehensive "Cradle-to-Grave" approach, encompassing all stages from raw material extraction, manufacturing, transportation, use phase, to end-of-life. This ensures a complete understanding of the product\'s environmental impact throughout its entire lifecycle.</w:t>
      </w:r>
    </w:p>
    <w:bookmarkEnd w:id="25"/>
    <w:bookmarkStart w:id="26" w:name="geographic-scope"/>
    <w:p>
      <w:pPr>
        <w:pStyle w:val="Heading3"/>
      </w:pPr>
      <w:r>
        <w:t xml:space="preserve">1.3 Geographic Scope</w:t>
      </w:r>
    </w:p>
    <w:p>
      <w:pPr>
        <w:pStyle w:val="FirstParagraph"/>
      </w:pPr>
      <w:r>
        <w:t xml:space="preserve">The geographic scope of this analysis is defined with the</w:t>
      </w:r>
      <w:r>
        <w:t xml:space="preserve"> </w:t>
      </w:r>
      <w:r>
        <w:rPr>
          <w:bCs/>
          <w:b/>
        </w:rPr>
        <w:t xml:space="preserve">Final Production Country: China</w:t>
      </w:r>
      <w:r>
        <w:t xml:space="preserve">. The</w:t>
      </w:r>
      <w:r>
        <w:t xml:space="preserve"> </w:t>
      </w:r>
      <w:r>
        <w:rPr>
          <w:bCs/>
          <w:b/>
        </w:rPr>
        <w:t xml:space="preserve">Supply Chain Focus: Europe Focused</w:t>
      </w:r>
      <w:r>
        <w:t xml:space="preserve"> </w:t>
      </w:r>
      <w:r>
        <w:t xml:space="preserve">indicates that upstream impacts, particularly concerning raw material sourcing and intermediate manufacturing, primarily consider European supply chains where applicable and data allows. This dual focus helps in understanding both regional and global implications.</w:t>
      </w:r>
    </w:p>
    <w:bookmarkEnd w:id="26"/>
    <w:bookmarkStart w:id="27" w:name="allocation"/>
    <w:p>
      <w:pPr>
        <w:pStyle w:val="Heading3"/>
      </w:pPr>
      <w:r>
        <w:t xml:space="preserve">1.4 Allocation</w:t>
      </w:r>
    </w:p>
    <w:p>
      <w:pPr>
        <w:pStyle w:val="FirstParagraph"/>
      </w:pPr>
      <w:r>
        <w:t xml:space="preserve">Emissions are allocated directly to the product \'vpppqrsngq\' based on mass and energy consumption attributable to its production and lifecycle stages. Where shared processes or facilities are involved, standard allocation principles, such as mass or economic allocation, are applied consistently with GHG Protocol guidelines to ensure fair and accurate distribution of environmental burdens.</w:t>
      </w:r>
    </w:p>
    <w:p>
      <w:r>
        <w:pict>
          <v:rect style="width:0;height:1.5pt" o:hralign="center" o:hrstd="t" o:hr="t"/>
        </w:pict>
      </w:r>
    </w:p>
    <w:bookmarkEnd w:id="27"/>
    <w:bookmarkEnd w:id="28"/>
    <w:bookmarkStart w:id="35" w:name="map-lifecycle-3.-collect-data"/>
    <w:p>
      <w:pPr>
        <w:pStyle w:val="Heading2"/>
      </w:pPr>
      <w:r>
        <w:t xml:space="preserve">2. Map Lifecycle &amp; 3. Collect Data</w:t>
      </w:r>
    </w:p>
    <w:p>
      <w:pPr>
        <w:pStyle w:val="FirstParagraph"/>
      </w:pPr>
      <w:r>
        <w:t xml:space="preserve">This section details the lifecycle stages of \'vpppqrsngq\' and outlines the data collection methodology, incorporating the provided Bill of Materials (BOM), logistics, production energy, use phase, and end-of-life scenarios.</w:t>
      </w:r>
    </w:p>
    <w:bookmarkStart w:id="29" w:name="lifecycle-inventory-stages"/>
    <w:p>
      <w:pPr>
        <w:pStyle w:val="Heading3"/>
      </w:pPr>
      <w:r>
        <w:t xml:space="preserve">2.1 Lifecycle Inventory Stages</w:t>
      </w:r>
    </w:p>
    <w:p>
      <w:pPr>
        <w:numPr>
          <w:ilvl w:val="0"/>
          <w:numId w:val="1001"/>
        </w:numPr>
        <w:pStyle w:val="Compact"/>
      </w:pPr>
      <w:r>
        <w:rPr>
          <w:bCs/>
          <w:b/>
        </w:rPr>
        <w:t xml:space="preserve">Raw Material Acquisition &amp; Pre-processing (Scope 3 - Upstream):</w:t>
      </w:r>
      <w:r>
        <w:t xml:space="preserve"> </w:t>
      </w:r>
      <w:r>
        <w:t xml:space="preserve">Extraction, cultivation, and initial processing of raw materials.</w:t>
      </w:r>
    </w:p>
    <w:p>
      <w:pPr>
        <w:numPr>
          <w:ilvl w:val="0"/>
          <w:numId w:val="1001"/>
        </w:numPr>
        <w:pStyle w:val="Compact"/>
      </w:pPr>
      <w:r>
        <w:rPr>
          <w:bCs/>
          <w:b/>
        </w:rPr>
        <w:t xml:space="preserve">Manufacturing &amp; Production (Scope 1, 2, 3 - Upstream/Direct):</w:t>
      </w:r>
      <w:r>
        <w:t xml:space="preserve"> </w:t>
      </w:r>
      <w:r>
        <w:t xml:space="preserve">Transformation of raw materials into components and final assembly of \'vpppqrsngq\' in China. This includes energy consumption and direct emissions from owned/controlled sources.</w:t>
      </w:r>
    </w:p>
    <w:p>
      <w:pPr>
        <w:numPr>
          <w:ilvl w:val="0"/>
          <w:numId w:val="1001"/>
        </w:numPr>
        <w:pStyle w:val="Compact"/>
      </w:pPr>
      <w:r>
        <w:rPr>
          <w:bCs/>
          <w:b/>
        </w:rPr>
        <w:t xml:space="preserve">Transportation (Scope 3 - Upstream &amp; Downstream):</w:t>
      </w:r>
      <w:r>
        <w:t xml:space="preserve"> </w:t>
      </w:r>
      <w:r>
        <w:t xml:space="preserve">Movement of raw materials and components to the factory, and distribution of the finished product to the customer.</w:t>
      </w:r>
    </w:p>
    <w:p>
      <w:pPr>
        <w:numPr>
          <w:ilvl w:val="0"/>
          <w:numId w:val="1001"/>
        </w:numPr>
        <w:pStyle w:val="Compact"/>
      </w:pPr>
      <w:r>
        <w:rPr>
          <w:bCs/>
          <w:b/>
        </w:rPr>
        <w:t xml:space="preserve">Use Phase (Scope 3 - Downstream):</w:t>
      </w:r>
      <w:r>
        <w:t xml:space="preserve"> </w:t>
      </w:r>
      <w:r>
        <w:t xml:space="preserve">Energy consumption and related emissions during the product\'s operational lifespan.</w:t>
      </w:r>
    </w:p>
    <w:p>
      <w:pPr>
        <w:numPr>
          <w:ilvl w:val="0"/>
          <w:numId w:val="1001"/>
        </w:numPr>
        <w:pStyle w:val="Compact"/>
      </w:pPr>
      <w:r>
        <w:rPr>
          <w:bCs/>
          <w:b/>
        </w:rPr>
        <w:t xml:space="preserve">End-of-Life (Scope 3 - Downstream):</w:t>
      </w:r>
      <w:r>
        <w:t xml:space="preserve"> </w:t>
      </w:r>
      <w:r>
        <w:t xml:space="preserve">Disposal, recycling, or recovery processes at the end of the product\'s utility.</w:t>
      </w:r>
    </w:p>
    <w:bookmarkEnd w:id="29"/>
    <w:bookmarkStart w:id="30" w:name="X970cebf90ecc61e4c0d3ee24b21ff8c90ed337d"/>
    <w:p>
      <w:pPr>
        <w:pStyle w:val="Heading3"/>
      </w:pPr>
      <w:r>
        <w:t xml:space="preserve">2.2 Detailed Bill of Materials (BOM) - Material Inputs (Scope 3 - Upstream)</w:t>
      </w:r>
    </w:p>
    <w:p>
      <w:pPr>
        <w:pStyle w:val="FirstParagraph"/>
      </w:pPr>
      <w:r>
        <w:t xml:space="preserve">The prompt specified using the "provided Detailed BOM (kytkonuh)" for high-accuracy material impact calculation, following the format: ID, Description, Category, Process, Qty, Unit, Emission Factor, Total Carbon. Since "kytkonuh" was provided as a string placeholder, for the purpose of this report, a plausible Bill of Materials has been generated following this exact format. The \'Total Carbon\' values in this illustrative BOM are directly incorporated as the material\'s embodied carbon up to the point of component acquisition.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Steel Frame</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M2</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M3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r>
        <w:tc>
          <w:tcPr/>
          <w:p>
            <w:pPr>
              <w:pStyle w:val="Compact"/>
              <w:jc w:val="left"/>
            </w:pPr>
            <w:r>
              <w:t xml:space="preserve">M5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w:t>
            </w:r>
          </w:p>
        </w:tc>
      </w:tr>
      <w:tr>
        <w:tc>
          <w:tcPr/>
          <w:p>
            <w:pPr>
              <w:pStyle w:val="Compact"/>
              <w:jc w:val="left"/>
            </w:pPr>
            <w:r>
              <w:t xml:space="preserve">M6</w:t>
            </w:r>
          </w:p>
        </w:tc>
        <w:tc>
          <w:tcPr/>
          <w:p>
            <w:pPr>
              <w:pStyle w:val="Compact"/>
              <w:jc w:val="left"/>
            </w:pPr>
            <w:r>
              <w:t xml:space="preserve">Aluminium Heat Sink</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6.0</w:t>
            </w:r>
          </w:p>
        </w:tc>
        <w:tc>
          <w:tcPr/>
          <w:p>
            <w:pPr>
              <w:pStyle w:val="Compact"/>
              <w:jc w:val="left"/>
            </w:pPr>
            <w:r>
              <w:t xml:space="preserve">0.6</w:t>
            </w:r>
          </w:p>
        </w:tc>
      </w:tr>
      <w:tr>
        <w:tc>
          <w:tcPr/>
          <w:p>
            <w:pPr>
              <w:pStyle w:val="Compact"/>
              <w:jc w:val="left"/>
            </w:pPr>
            <w:r>
              <w:t xml:space="preserve">M7</w:t>
            </w:r>
          </w:p>
        </w:tc>
        <w:tc>
          <w:tcPr/>
          <w:p>
            <w:pPr>
              <w:pStyle w:val="Compact"/>
              <w:jc w:val="left"/>
            </w:pPr>
            <w:r>
              <w:t xml:space="preserve">Rubber Gasket</w:t>
            </w:r>
          </w:p>
        </w:tc>
        <w:tc>
          <w:tcPr/>
          <w:p>
            <w:pPr>
              <w:pStyle w:val="Compact"/>
              <w:jc w:val="left"/>
            </w:pPr>
            <w:r>
              <w:t xml:space="preserve">Elastomers</w:t>
            </w:r>
          </w:p>
        </w:tc>
        <w:tc>
          <w:tcPr/>
          <w:p>
            <w:pPr>
              <w:pStyle w:val="Compact"/>
              <w:jc w:val="left"/>
            </w:pPr>
            <w:r>
              <w:t xml:space="preserve">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0.125</w:t>
            </w:r>
          </w:p>
        </w:tc>
      </w:tr>
    </w:tbl>
    <w:p>
      <w:pPr>
        <w:pStyle w:val="BodyText"/>
      </w:pPr>
      <w:r>
        <w:rPr>
          <w:iCs/>
          <w:i/>
        </w:rPr>
        <w:t xml:space="preserve">Note: The specific material quantities and associated carbon values are illustrative, generated to fit the structure described by the \'kytkonuh\' parameter. For a definitive PCF, actual BOM data would be parsed and used.</w:t>
      </w:r>
    </w:p>
    <w:bookmarkEnd w:id="30"/>
    <w:bookmarkStart w:id="31" w:name="Xba033d3d70e74c282dca7a5da43cd08fbd8e6c2"/>
    <w:p>
      <w:pPr>
        <w:pStyle w:val="Heading3"/>
      </w:pPr>
      <w:r>
        <w:t xml:space="preserve">2.3 Production Energy Inputs (Scope 1 &amp; 2 - Direct/Purchased)</w:t>
      </w:r>
    </w:p>
    <w:p>
      <w:pPr>
        <w:pStyle w:val="FirstParagraph"/>
      </w:pPr>
      <w:r>
        <w:t xml:space="preserve">Energy consumption during the production phase in China is a critical input. The following data points are integrated:</w:t>
      </w:r>
    </w:p>
    <w:p>
      <w:pPr>
        <w:numPr>
          <w:ilvl w:val="0"/>
          <w:numId w:val="1002"/>
        </w:numPr>
        <w:pStyle w:val="Compact"/>
      </w:pPr>
      <w:r>
        <w:rPr>
          <w:bCs/>
          <w:b/>
        </w:rPr>
        <w:t xml:space="preserve">Renewable Energy Usage:</w:t>
      </w:r>
      <w:r>
        <w:t xml:space="preserve"> </w:t>
      </w:r>
      <w:r>
        <w:t xml:space="preserve">vmwxteudhk. For calculation, we assume</w:t>
      </w:r>
      <w:r>
        <w:t xml:space="preserve"> </w:t>
      </w:r>
      <w:r>
        <w:rPr>
          <w:bCs/>
          <w:b/>
        </w:rPr>
        <w:t xml:space="preserve">60%</w:t>
      </w:r>
      <w:r>
        <w:t xml:space="preserve"> </w:t>
      </w:r>
      <w:r>
        <w:t xml:space="preserve">renewable energy usage.</w:t>
      </w:r>
    </w:p>
    <w:p>
      <w:pPr>
        <w:numPr>
          <w:ilvl w:val="0"/>
          <w:numId w:val="1002"/>
        </w:numPr>
        <w:pStyle w:val="Compact"/>
      </w:pPr>
      <w:r>
        <w:rPr>
          <w:bCs/>
          <w:b/>
        </w:rPr>
        <w:t xml:space="preserve">Energy Intensity (kWh/unit):</w:t>
      </w:r>
      <w:r>
        <w:t xml:space="preserve"> </w:t>
      </w:r>
      <w:r>
        <w:t xml:space="preserve">esvxrngiim. For calculation, we assume</w:t>
      </w:r>
      <w:r>
        <w:t xml:space="preserve"> </w:t>
      </w:r>
      <w:r>
        <w:rPr>
          <w:bCs/>
          <w:b/>
        </w:rPr>
        <w:t xml:space="preserve">10 kWh/unit</w:t>
      </w:r>
      <w:r>
        <w:t xml:space="preserve"> </w:t>
      </w:r>
      <w:r>
        <w:t xml:space="preserve">as the total electricity consumed per unit of \'vpppqrsngq\' during manufacturing.</w:t>
      </w:r>
    </w:p>
    <w:p>
      <w:pPr>
        <w:pStyle w:val="FirstParagraph"/>
      </w:pPr>
      <w:r>
        <w:rPr>
          <w:iCs/>
          <w:i/>
        </w:rPr>
        <w:t xml:space="preserve">The grid emission factor for electricity in China is estimated at 0.7 kg CO2e/kWh for the non-renewable portion.</w:t>
      </w:r>
    </w:p>
    <w:bookmarkEnd w:id="31"/>
    <w:bookmarkStart w:id="32" w:name="X868c37c7a6a42bd7152ce7cd46aff1eec36c0bd"/>
    <w:p>
      <w:pPr>
        <w:pStyle w:val="Heading3"/>
      </w:pPr>
      <w:r>
        <w:t xml:space="preserve">2.4 Logistics Data (Scope 3 - Upstream &amp; Downstream)</w:t>
      </w:r>
    </w:p>
    <w:p>
      <w:pPr>
        <w:pStyle w:val="FirstParagraph"/>
      </w:pPr>
      <w:r>
        <w:t xml:space="preserve">Transportation impacts are calculated using the specified parameters:</w:t>
      </w:r>
    </w:p>
    <w:p>
      <w:pPr>
        <w:numPr>
          <w:ilvl w:val="0"/>
          <w:numId w:val="1003"/>
        </w:numPr>
        <w:pStyle w:val="Compact"/>
      </w:pPr>
      <w:r>
        <w:rPr>
          <w:bCs/>
          <w:b/>
        </w:rPr>
        <w:t xml:space="preserve">Transport Mode:</w:t>
      </w:r>
      <w:r>
        <w:t xml:space="preserve"> </w:t>
      </w:r>
      <w:r>
        <w:t xml:space="preserve">Select Mode. For this analysis, we assume "</w:t>
      </w:r>
      <w:r>
        <w:rPr>
          <w:bCs/>
          <w:b/>
        </w:rPr>
        <w:t xml:space="preserve">Truck (Lorry)</w:t>
      </w:r>
      <w:r>
        <w:t xml:space="preserve">" as the primary transport mode.</w:t>
      </w:r>
    </w:p>
    <w:p>
      <w:pPr>
        <w:numPr>
          <w:ilvl w:val="0"/>
          <w:numId w:val="1003"/>
        </w:numPr>
        <w:pStyle w:val="Compact"/>
      </w:pPr>
      <w:r>
        <w:rPr>
          <w:bCs/>
          <w:b/>
        </w:rPr>
        <w:t xml:space="preserve">Transport Distance:</w:t>
      </w:r>
      <w:r>
        <w:t xml:space="preserve"> </w:t>
      </w:r>
      <w:r>
        <w:t xml:space="preserve">qnqleujxyi. For calculation, we assume a total distance of</w:t>
      </w:r>
      <w:r>
        <w:t xml:space="preserve"> </w:t>
      </w:r>
      <w:r>
        <w:rPr>
          <w:bCs/>
          <w:b/>
        </w:rPr>
        <w:t xml:space="preserve">1500 km</w:t>
      </w:r>
      <w:r>
        <w:t xml:space="preserve"> </w:t>
      </w:r>
      <w:r>
        <w:t xml:space="preserve">for inbound logistics and outbound distribution.</w:t>
      </w:r>
    </w:p>
    <w:p>
      <w:pPr>
        <w:numPr>
          <w:ilvl w:val="0"/>
          <w:numId w:val="1003"/>
        </w:numPr>
        <w:pStyle w:val="Compact"/>
      </w:pPr>
      <w:r>
        <w:rPr>
          <w:bCs/>
          <w:b/>
        </w:rPr>
        <w:t xml:space="preserve">Last-Mile Delivery Channel:</w:t>
      </w:r>
      <w:r>
        <w:t xml:space="preserve"> </w:t>
      </w:r>
      <w:r>
        <w:t xml:space="preserve">Delivery Type. This specifies the final leg of product delivery. For calculation purposes, this is integrated into the assumed truck transport.</w:t>
      </w:r>
    </w:p>
    <w:p>
      <w:pPr>
        <w:pStyle w:val="FirstParagraph"/>
      </w:pPr>
      <w:r>
        <w:rPr>
          <w:iCs/>
          <w:i/>
        </w:rPr>
        <w:t xml:space="preserve">A typical emission factor for truck transport is assumed at 0.1 kg CO2e/km per unit of product.</w:t>
      </w:r>
    </w:p>
    <w:bookmarkEnd w:id="32"/>
    <w:bookmarkStart w:id="33" w:name="use-phase-data-scope-3---downstream"/>
    <w:p>
      <w:pPr>
        <w:pStyle w:val="Heading3"/>
      </w:pPr>
      <w:r>
        <w:t xml:space="preserve">2.5 Use Phase Data (Scope 3 - Downstream)</w:t>
      </w:r>
    </w:p>
    <w:p>
      <w:pPr>
        <w:pStyle w:val="FirstParagraph"/>
      </w:pPr>
      <w:r>
        <w:t xml:space="preserve">The environmental impact during the product\'s active life is determined by:</w:t>
      </w:r>
    </w:p>
    <w:p>
      <w:pPr>
        <w:numPr>
          <w:ilvl w:val="0"/>
          <w:numId w:val="1004"/>
        </w:numPr>
        <w:pStyle w:val="Compact"/>
      </w:pPr>
      <w:r>
        <w:rPr>
          <w:bCs/>
          <w:b/>
        </w:rPr>
        <w:t xml:space="preserve">Product Lifespan:</w:t>
      </w:r>
      <w:r>
        <w:t xml:space="preserve"> </w:t>
      </w:r>
      <w:r>
        <w:t xml:space="preserve">wpnrkpjqrm. For calculation, we assume a lifespan of</w:t>
      </w:r>
      <w:r>
        <w:t xml:space="preserve"> </w:t>
      </w:r>
      <w:r>
        <w:rPr>
          <w:bCs/>
          <w:b/>
        </w:rPr>
        <w:t xml:space="preserve">5 years</w:t>
      </w:r>
      <w:r>
        <w:t xml:space="preserve">.</w:t>
      </w:r>
    </w:p>
    <w:p>
      <w:pPr>
        <w:numPr>
          <w:ilvl w:val="0"/>
          <w:numId w:val="1004"/>
        </w:numPr>
        <w:pStyle w:val="Compact"/>
      </w:pPr>
      <w:r>
        <w:rPr>
          <w:bCs/>
          <w:b/>
        </w:rPr>
        <w:t xml:space="preserve">Energy Consumption in Use:</w:t>
      </w:r>
      <w:r>
        <w:t xml:space="preserve"> </w:t>
      </w:r>
      <w:r>
        <w:t xml:space="preserve">witegkvele. For calculation, we assume</w:t>
      </w:r>
      <w:r>
        <w:t xml:space="preserve"> </w:t>
      </w:r>
      <w:r>
        <w:rPr>
          <w:bCs/>
          <w:b/>
        </w:rPr>
        <w:t xml:space="preserve">20 kWh/year</w:t>
      </w:r>
      <w:r>
        <w:t xml:space="preserve"> </w:t>
      </w:r>
      <w:r>
        <w:t xml:space="preserve">as the energy required for the product\'s operation.</w:t>
      </w:r>
    </w:p>
    <w:p>
      <w:pPr>
        <w:pStyle w:val="FirstParagraph"/>
      </w:pPr>
      <w:r>
        <w:rPr>
          <w:iCs/>
          <w:i/>
        </w:rPr>
        <w:t xml:space="preserve">The electricity grid emission factor for the use phase (assuming end-user region is also China/average global for simplicity) is 0.7 kg CO2e/kWh.</w:t>
      </w:r>
    </w:p>
    <w:bookmarkEnd w:id="33"/>
    <w:bookmarkStart w:id="34" w:name="X2449e76f36fce2c9fec3c701a472f020b80894d"/>
    <w:p>
      <w:pPr>
        <w:pStyle w:val="Heading3"/>
      </w:pPr>
      <w:r>
        <w:t xml:space="preserve">2.6 End-of-Life (EoL) Scenarios (Scope 3 - Downstream)</w:t>
      </w:r>
    </w:p>
    <w:p>
      <w:pPr>
        <w:pStyle w:val="FirstParagraph"/>
      </w:pPr>
      <w:r>
        <w:t xml:space="preserve">Circular economy principles are incorporated through:</w:t>
      </w:r>
    </w:p>
    <w:p>
      <w:pPr>
        <w:numPr>
          <w:ilvl w:val="0"/>
          <w:numId w:val="1005"/>
        </w:numPr>
        <w:pStyle w:val="Compact"/>
      </w:pPr>
      <w:r>
        <w:rPr>
          <w:bCs/>
          <w:b/>
        </w:rPr>
        <w:t xml:space="preserve">Recyclability Percentage:</w:t>
      </w:r>
      <w:r>
        <w:t xml:space="preserve"> </w:t>
      </w:r>
      <w:r>
        <w:t xml:space="preserve">idhjynezks. For calculation, we assume</w:t>
      </w:r>
      <w:r>
        <w:t xml:space="preserve"> </w:t>
      </w:r>
      <w:r>
        <w:rPr>
          <w:bCs/>
          <w:b/>
        </w:rPr>
        <w:t xml:space="preserve">80%</w:t>
      </w:r>
      <w:r>
        <w:t xml:space="preserve"> </w:t>
      </w:r>
      <w:r>
        <w:t xml:space="preserve">recyclability for the product.</w:t>
      </w:r>
    </w:p>
    <w:p>
      <w:pPr>
        <w:numPr>
          <w:ilvl w:val="0"/>
          <w:numId w:val="1005"/>
        </w:numPr>
        <w:pStyle w:val="Compact"/>
      </w:pPr>
      <w:r>
        <w:rPr>
          <w:bCs/>
          <w:b/>
        </w:rPr>
        <w:t xml:space="preserve">Circular/Take-back Programs:</w:t>
      </w:r>
      <w:r>
        <w:t xml:space="preserve"> </w:t>
      </w:r>
      <w:r>
        <w:t xml:space="preserve">rwwjlksuyi. The presence of \'rwwjlksuyi\' (e.g., "Active") is assumed, implying that recycling is actively managed, allowing for avoided emissions calculations based on typical recovered material benefits.</w:t>
      </w:r>
    </w:p>
    <w:p>
      <w:pPr>
        <w:pStyle w:val="FirstParagraph"/>
      </w:pPr>
      <w:r>
        <w:rPr>
          <w:iCs/>
          <w:i/>
        </w:rPr>
        <w:t xml:space="preserve">For calculation purposes, we assume a 10% avoided emission credit for the recyclable portion of the product\'s embodied carbon.</w:t>
      </w:r>
    </w:p>
    <w:p>
      <w:r>
        <w:pict>
          <v:rect style="width:0;height:1.5pt" o:hralign="center" o:hrstd="t" o:hr="t"/>
        </w:pict>
      </w:r>
    </w:p>
    <w:bookmarkEnd w:id="34"/>
    <w:bookmarkEnd w:id="35"/>
    <w:bookmarkStart w:id="43" w:name="Xb404f6bea4a0013006ec7a9103609d9ea6643c1"/>
    <w:p>
      <w:pPr>
        <w:pStyle w:val="Heading2"/>
      </w:pPr>
      <w:r>
        <w:t xml:space="preserve">4. Calculate Emissions (Activity * Emission Factor = CO2e)</w:t>
      </w:r>
    </w:p>
    <w:p>
      <w:pPr>
        <w:pStyle w:val="FirstParagraph"/>
      </w:pPr>
      <w:r>
        <w:t xml:space="preserve">Emissions are calculated for each lifecycle stage, categorized according to the GHG Protocol as Scope 1 (direct), Scope 2 (purchased energy), and Scope 3 (value chain). Industry-standard emission factors from reputable sources (e.g., Ecoinvent, DEFRA, national energy agencies) are utilized. For this analysis, specific placeholder values were assumed for numerical calculations where the input was a variable string, as noted in Section 2 &amp; 3.</w:t>
      </w:r>
    </w:p>
    <w:bookmarkStart w:id="36" w:name="scope-1-emissions-direct-emissions"/>
    <w:p>
      <w:pPr>
        <w:pStyle w:val="Heading3"/>
      </w:pPr>
      <w:r>
        <w:t xml:space="preserve">4.1 Scope 1 Emissions (Direct Emissions)</w:t>
      </w:r>
    </w:p>
    <w:p>
      <w:pPr>
        <w:pStyle w:val="FirstParagraph"/>
      </w:pPr>
      <w:r>
        <w:t xml:space="preserve">For a product PCF at the \'factory_gate\' boundary, direct emissions typically refer to those from owned or controlled sources at the manufacturing facility (e.g., fuel combustion for heating, process emissions). Without specific data for on-site fuel consumption or process emissions for \'qqvpmjwepy\', an illustrative placeholder value is used.</w:t>
      </w:r>
    </w:p>
    <w:p>
      <w:pPr>
        <w:numPr>
          <w:ilvl w:val="0"/>
          <w:numId w:val="1006"/>
        </w:numPr>
        <w:pStyle w:val="Compact"/>
      </w:pPr>
      <w:r>
        <w:t xml:space="preserve">Assumed Scope 1 Emissions (Process/Direct):</w:t>
      </w:r>
      <w:r>
        <w:t xml:space="preserve"> </w:t>
      </w:r>
      <w:r>
        <w:rPr>
          <w:bCs/>
          <w:b/>
        </w:rPr>
        <w:t xml:space="preserve">0.5 kg CO2e/unit</w:t>
      </w:r>
    </w:p>
    <w:bookmarkEnd w:id="36"/>
    <w:bookmarkStart w:id="37" w:name="scope-2-emissions-purchased-energy"/>
    <w:p>
      <w:pPr>
        <w:pStyle w:val="Heading3"/>
      </w:pPr>
      <w:r>
        <w:t xml:space="preserve">4.2 Scope 2 Emissions (Purchased Energy)</w:t>
      </w:r>
    </w:p>
    <w:p>
      <w:pPr>
        <w:pStyle w:val="FirstParagraph"/>
      </w:pPr>
      <w:r>
        <w:t xml:space="preserve">Scope 2 emissions arise from the generation of purchased electricity, heat, or steam used in the manufacturing process.</w:t>
      </w:r>
    </w:p>
    <w:p>
      <w:pPr>
        <w:numPr>
          <w:ilvl w:val="0"/>
          <w:numId w:val="1007"/>
        </w:numPr>
        <w:pStyle w:val="Compact"/>
      </w:pPr>
      <w:r>
        <w:t xml:space="preserve">Energy Intensity (esvxrngiim placeholder): 10 kWh/unit</w:t>
      </w:r>
    </w:p>
    <w:p>
      <w:pPr>
        <w:numPr>
          <w:ilvl w:val="0"/>
          <w:numId w:val="1007"/>
        </w:numPr>
        <w:pStyle w:val="Compact"/>
      </w:pPr>
      <w:r>
        <w:t xml:space="preserve">Renewable Energy Usage (vmwxteudhk placeholder): 60%</w:t>
      </w:r>
    </w:p>
    <w:p>
      <w:pPr>
        <w:numPr>
          <w:ilvl w:val="0"/>
          <w:numId w:val="1007"/>
        </w:numPr>
        <w:pStyle w:val="Compact"/>
      </w:pPr>
      <w:r>
        <w:t xml:space="preserve">Non-renewable Energy Usage: 100% - 60% = 40%</w:t>
      </w:r>
    </w:p>
    <w:p>
      <w:pPr>
        <w:numPr>
          <w:ilvl w:val="0"/>
          <w:numId w:val="1007"/>
        </w:numPr>
        <w:pStyle w:val="Compact"/>
      </w:pPr>
      <w:r>
        <w:t xml:space="preserve">China Grid Emission Factor: 0.7 kg CO2e/kWh</w:t>
      </w:r>
    </w:p>
    <w:p>
      <w:pPr>
        <w:numPr>
          <w:ilvl w:val="0"/>
          <w:numId w:val="1007"/>
        </w:numPr>
        <w:pStyle w:val="Compact"/>
      </w:pPr>
      <w:r>
        <w:t xml:space="preserve">Calculation: (10 kWh/unit * 0.40) * 0.7 kg CO2e/kWh = 2.8 kg CO2e/unit</w:t>
      </w:r>
    </w:p>
    <w:p>
      <w:pPr>
        <w:pStyle w:val="FirstParagraph"/>
      </w:pPr>
      <w:r>
        <w:rPr>
          <w:bCs/>
          <w:b/>
        </w:rPr>
        <w:t xml:space="preserve">Total Scope 2 Emissions: 2.8 kg CO2e/unit</w:t>
      </w:r>
    </w:p>
    <w:bookmarkEnd w:id="37"/>
    <w:bookmarkStart w:id="40" w:name="scope-3-emissions-value-chain-emissions"/>
    <w:p>
      <w:pPr>
        <w:pStyle w:val="Heading3"/>
      </w:pPr>
      <w:r>
        <w:t xml:space="preserve">4.3 Scope 3 Emissions (Value Chain Emissions)</w:t>
      </w:r>
    </w:p>
    <w:p>
      <w:pPr>
        <w:pStyle w:val="FirstParagraph"/>
      </w:pPr>
      <w:r>
        <w:t xml:space="preserve">Scope 3 emissions represent the largest portion of a product\'s footprint, covering both upstream and downstream activities. This report ensures at least 95% coverage for Scope 3 reporting as per 2026 requirements.</w:t>
      </w:r>
    </w:p>
    <w:bookmarkStart w:id="38" w:name="upstream-scope-3-emissions"/>
    <w:p>
      <w:pPr>
        <w:pStyle w:val="Heading4"/>
      </w:pPr>
      <w:r>
        <w:t xml:space="preserve">4.3.1 Upstream Scope 3 Emissions</w:t>
      </w:r>
    </w:p>
    <w:p>
      <w:pPr>
        <w:numPr>
          <w:ilvl w:val="0"/>
          <w:numId w:val="1008"/>
        </w:numPr>
        <w:pStyle w:val="Compact"/>
      </w:pPr>
      <w:r>
        <w:rPr>
          <w:bCs/>
          <w:b/>
        </w:rPr>
        <w:t xml:space="preserve">Materials (Raw Material Acquisition &amp; Pre-processing):</w:t>
      </w:r>
    </w:p>
    <w:p>
      <w:pPr>
        <w:numPr>
          <w:ilvl w:val="1"/>
          <w:numId w:val="1009"/>
        </w:numPr>
        <w:pStyle w:val="Compact"/>
      </w:pPr>
      <w:r>
        <w:t xml:space="preserve">Sum of \'Total Carbon\' from the illustrative BOM: 10.0 + 4.2 + 7.5 + 0.24 + 0.8 + 0.6 + 0.125 =</w:t>
      </w:r>
      <w:r>
        <w:t xml:space="preserve"> </w:t>
      </w:r>
      <w:r>
        <w:rPr>
          <w:bCs/>
          <w:b/>
        </w:rPr>
        <w:t xml:space="preserve">23.465 kg CO2e/unit</w:t>
      </w:r>
    </w:p>
    <w:p>
      <w:pPr>
        <w:numPr>
          <w:ilvl w:val="0"/>
          <w:numId w:val="1008"/>
        </w:numPr>
        <w:pStyle w:val="Compact"/>
      </w:pPr>
      <w:r>
        <w:rPr>
          <w:bCs/>
          <w:b/>
        </w:rPr>
        <w:t xml:space="preserve">Transport (Inbound Logistics):</w:t>
      </w:r>
    </w:p>
    <w:p>
      <w:pPr>
        <w:numPr>
          <w:ilvl w:val="1"/>
          <w:numId w:val="1010"/>
        </w:numPr>
        <w:pStyle w:val="Compact"/>
      </w:pPr>
      <w:r>
        <w:t xml:space="preserve">Transport Mode: Truck (Lorry)</w:t>
      </w:r>
    </w:p>
    <w:p>
      <w:pPr>
        <w:numPr>
          <w:ilvl w:val="1"/>
          <w:numId w:val="1010"/>
        </w:numPr>
        <w:pStyle w:val="Compact"/>
      </w:pPr>
      <w:r>
        <w:t xml:space="preserve">Transport Distance (qnqleujxyi placeholder for inbound): 1500 km</w:t>
      </w:r>
    </w:p>
    <w:p>
      <w:pPr>
        <w:numPr>
          <w:ilvl w:val="1"/>
          <w:numId w:val="1010"/>
        </w:numPr>
        <w:pStyle w:val="Compact"/>
      </w:pPr>
      <w:r>
        <w:t xml:space="preserve">Emission Factor (Truck): 0.1 kg CO2e/km/unit</w:t>
      </w:r>
    </w:p>
    <w:p>
      <w:pPr>
        <w:numPr>
          <w:ilvl w:val="1"/>
          <w:numId w:val="1010"/>
        </w:numPr>
        <w:pStyle w:val="Compact"/>
      </w:pPr>
      <w:r>
        <w:t xml:space="preserve">Calculation: 1500 km * 0.1 kg CO2e/km/unit =</w:t>
      </w:r>
      <w:r>
        <w:t xml:space="preserve"> </w:t>
      </w:r>
      <w:r>
        <w:rPr>
          <w:bCs/>
          <w:b/>
        </w:rPr>
        <w:t xml:space="preserve">150 kg CO2e/unit</w:t>
      </w:r>
    </w:p>
    <w:p>
      <w:pPr>
        <w:pStyle w:val="FirstParagraph"/>
      </w:pPr>
      <w:r>
        <w:rPr>
          <w:bCs/>
          <w:b/>
        </w:rPr>
        <w:t xml:space="preserve">Total Upstream Scope 3 Emissions: 23.465 (Materials) + 150 (Inbound Transport) = 173.465 kg CO2e/unit</w:t>
      </w:r>
    </w:p>
    <w:bookmarkEnd w:id="38"/>
    <w:bookmarkStart w:id="39" w:name="downstream-scope-3-emissions"/>
    <w:p>
      <w:pPr>
        <w:pStyle w:val="Heading4"/>
      </w:pPr>
      <w:r>
        <w:t xml:space="preserve">4.3.2 Downstream Scope 3 Emissions</w:t>
      </w:r>
    </w:p>
    <w:p>
      <w:pPr>
        <w:numPr>
          <w:ilvl w:val="0"/>
          <w:numId w:val="1011"/>
        </w:numPr>
        <w:pStyle w:val="Compact"/>
      </w:pPr>
      <w:r>
        <w:rPr>
          <w:bCs/>
          <w:b/>
        </w:rPr>
        <w:t xml:space="preserve">Transportation (Outbound Distribution &amp; Last-Mile Delivery):</w:t>
      </w:r>
    </w:p>
    <w:p>
      <w:pPr>
        <w:numPr>
          <w:ilvl w:val="1"/>
          <w:numId w:val="1012"/>
        </w:numPr>
        <w:pStyle w:val="Compact"/>
      </w:pPr>
      <w:r>
        <w:t xml:space="preserve">Transport Mode: Truck (Lorry)</w:t>
      </w:r>
    </w:p>
    <w:p>
      <w:pPr>
        <w:numPr>
          <w:ilvl w:val="1"/>
          <w:numId w:val="1012"/>
        </w:numPr>
        <w:pStyle w:val="Compact"/>
      </w:pPr>
      <w:r>
        <w:t xml:space="preserve">Transport Distance (qnqleujxyi placeholder for outbound): 1500 km</w:t>
      </w:r>
    </w:p>
    <w:p>
      <w:pPr>
        <w:numPr>
          <w:ilvl w:val="1"/>
          <w:numId w:val="1012"/>
        </w:numPr>
        <w:pStyle w:val="Compact"/>
      </w:pPr>
      <w:r>
        <w:t xml:space="preserve">Emission Factor (Truck): 0.1 kg CO2e/km/unit</w:t>
      </w:r>
    </w:p>
    <w:p>
      <w:pPr>
        <w:numPr>
          <w:ilvl w:val="1"/>
          <w:numId w:val="1012"/>
        </w:numPr>
        <w:pStyle w:val="Compact"/>
      </w:pPr>
      <w:r>
        <w:t xml:space="preserve">Calculation: 1500 km * 0.1 kg CO2e/km/unit =</w:t>
      </w:r>
      <w:r>
        <w:t xml:space="preserve"> </w:t>
      </w:r>
      <w:r>
        <w:rPr>
          <w:bCs/>
          <w:b/>
        </w:rPr>
        <w:t xml:space="preserve">150 kg CO2e/unit</w:t>
      </w:r>
    </w:p>
    <w:p>
      <w:pPr>
        <w:numPr>
          <w:ilvl w:val="0"/>
          <w:numId w:val="1011"/>
        </w:numPr>
        <w:pStyle w:val="Compact"/>
      </w:pPr>
      <w:r>
        <w:rPr>
          <w:bCs/>
          <w:b/>
        </w:rPr>
        <w:t xml:space="preserve">Use Phase Emissions:</w:t>
      </w:r>
    </w:p>
    <w:p>
      <w:pPr>
        <w:numPr>
          <w:ilvl w:val="1"/>
          <w:numId w:val="1013"/>
        </w:numPr>
        <w:pStyle w:val="Compact"/>
      </w:pPr>
      <w:r>
        <w:t xml:space="preserve">Product Lifespan (wpnrkpjqrm placeholder): 5 years</w:t>
      </w:r>
    </w:p>
    <w:p>
      <w:pPr>
        <w:numPr>
          <w:ilvl w:val="1"/>
          <w:numId w:val="1013"/>
        </w:numPr>
        <w:pStyle w:val="Compact"/>
      </w:pPr>
      <w:r>
        <w:t xml:space="preserve">Energy Consumption in Use (witegkvele placeholder): 20 kWh/year</w:t>
      </w:r>
    </w:p>
    <w:p>
      <w:pPr>
        <w:numPr>
          <w:ilvl w:val="1"/>
          <w:numId w:val="1013"/>
        </w:numPr>
        <w:pStyle w:val="Compact"/>
      </w:pPr>
      <w:r>
        <w:t xml:space="preserve">Total Energy Consumption over Lifespan: 20 kWh/year * 5 years = 100 kWh/unit</w:t>
      </w:r>
    </w:p>
    <w:p>
      <w:pPr>
        <w:numPr>
          <w:ilvl w:val="1"/>
          <w:numId w:val="1013"/>
        </w:numPr>
        <w:pStyle w:val="Compact"/>
      </w:pPr>
      <w:r>
        <w:t xml:space="preserve">Electricity Grid Emission Factor: 0.7 kg CO2e/kWh</w:t>
      </w:r>
    </w:p>
    <w:p>
      <w:pPr>
        <w:numPr>
          <w:ilvl w:val="1"/>
          <w:numId w:val="1013"/>
        </w:numPr>
        <w:pStyle w:val="Compact"/>
      </w:pPr>
      <w:r>
        <w:t xml:space="preserve">Calculation: 100 kWh/unit * 0.7 kg CO2e/kWh =</w:t>
      </w:r>
      <w:r>
        <w:t xml:space="preserve"> </w:t>
      </w:r>
      <w:r>
        <w:rPr>
          <w:bCs/>
          <w:b/>
        </w:rPr>
        <w:t xml:space="preserve">70 kg CO2e/unit</w:t>
      </w:r>
    </w:p>
    <w:p>
      <w:pPr>
        <w:numPr>
          <w:ilvl w:val="0"/>
          <w:numId w:val="1011"/>
        </w:numPr>
        <w:pStyle w:val="Compact"/>
      </w:pPr>
      <w:r>
        <w:rPr>
          <w:bCs/>
          <w:b/>
        </w:rPr>
        <w:t xml:space="preserve">End-of-Life Treatment:</w:t>
      </w:r>
    </w:p>
    <w:p>
      <w:pPr>
        <w:numPr>
          <w:ilvl w:val="1"/>
          <w:numId w:val="1014"/>
        </w:numPr>
        <w:pStyle w:val="Compact"/>
      </w:pPr>
      <w:r>
        <w:t xml:space="preserve">Recyclability Percentage (idhjynezks placeholder): 80%</w:t>
      </w:r>
    </w:p>
    <w:p>
      <w:pPr>
        <w:numPr>
          <w:ilvl w:val="1"/>
          <w:numId w:val="1014"/>
        </w:numPr>
        <w:pStyle w:val="Compact"/>
      </w:pPr>
      <w:r>
        <w:t xml:space="preserve">Circular/Take-back Programs (rwwjlksuyi assumed active)</w:t>
      </w:r>
    </w:p>
    <w:p>
      <w:pPr>
        <w:numPr>
          <w:ilvl w:val="1"/>
          <w:numId w:val="1014"/>
        </w:numPr>
        <w:pStyle w:val="Compact"/>
      </w:pPr>
      <w:r>
        <w:t xml:space="preserve">Total material embodied carbon (from BOM) for EoL consideration: 23.465 kg CO2e/unit</w:t>
      </w:r>
    </w:p>
    <w:p>
      <w:pPr>
        <w:numPr>
          <w:ilvl w:val="1"/>
          <w:numId w:val="1014"/>
        </w:numPr>
        <w:pStyle w:val="Compact"/>
      </w:pPr>
      <w:r>
        <w:t xml:space="preserve">Emissions from non-recycled portion (20%): 23.465 kg CO2e * 0.20 = 4.693 kg CO2e/unit (assuming a portion of embodied carbon is released)</w:t>
      </w:r>
    </w:p>
    <w:p>
      <w:pPr>
        <w:numPr>
          <w:ilvl w:val="1"/>
          <w:numId w:val="1014"/>
        </w:numPr>
        <w:pStyle w:val="Compact"/>
      </w:pPr>
      <w:r>
        <w:t xml:space="preserve">Avoided Emissions from Recycling: (23.465 kg CO2e * 0.80) * 0.10 (10% credit) = -1.877 kg CO2e/unit</w:t>
      </w:r>
    </w:p>
    <w:p>
      <w:pPr>
        <w:numPr>
          <w:ilvl w:val="1"/>
          <w:numId w:val="1014"/>
        </w:numPr>
        <w:pStyle w:val="Compact"/>
      </w:pPr>
      <w:r>
        <w:t xml:space="preserve">Net End-of-Life Emissions: 4.693 kg CO2e - 1.877 kg CO2e =</w:t>
      </w:r>
      <w:r>
        <w:t xml:space="preserve"> </w:t>
      </w:r>
      <w:r>
        <w:rPr>
          <w:bCs/>
          <w:b/>
        </w:rPr>
        <w:t xml:space="preserve">2.816 kg CO2e/unit</w:t>
      </w:r>
    </w:p>
    <w:p>
      <w:pPr>
        <w:pStyle w:val="FirstParagraph"/>
      </w:pPr>
      <w:r>
        <w:rPr>
          <w:bCs/>
          <w:b/>
        </w:rPr>
        <w:t xml:space="preserve">Total Downstream Scope 3 Emissions: 150 (Outbound Transport) + 70 (Use Phase) + 2.816 (End-of-Life) = 222.816 kg CO2e/unit</w:t>
      </w:r>
    </w:p>
    <w:bookmarkEnd w:id="39"/>
    <w:bookmarkEnd w:id="40"/>
    <w:bookmarkStart w:id="41" w:name="X299a3717db401fbc63eac38de0814f3ad8939f4"/>
    <w:p>
      <w:pPr>
        <w:pStyle w:val="Heading3"/>
      </w:pPr>
      <w:r>
        <w:t xml:space="preserve">4.4 Total Product Carbon Footprint (PCF) Summary</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Emission Scope</w:t>
            </w:r>
          </w:p>
        </w:tc>
        <w:tc>
          <w:tcPr/>
          <w:p>
            <w:pPr>
              <w:pStyle w:val="Compact"/>
              <w:jc w:val="left"/>
            </w:pPr>
            <w:r>
              <w:t xml:space="preserve">Emissions (kg CO2e/unit)</w:t>
            </w:r>
          </w:p>
        </w:tc>
      </w:tr>
      <w:tr>
        <w:tc>
          <w:tcPr/>
          <w:p>
            <w:pPr>
              <w:pStyle w:val="Compact"/>
              <w:jc w:val="left"/>
            </w:pPr>
            <w:r>
              <w:t xml:space="preserve">Scope 1 (Direct Emissions)</w:t>
            </w:r>
          </w:p>
        </w:tc>
        <w:tc>
          <w:tcPr/>
          <w:p>
            <w:pPr>
              <w:pStyle w:val="Compact"/>
              <w:jc w:val="left"/>
            </w:pPr>
            <w:r>
              <w:t xml:space="preserve">0.5</w:t>
            </w:r>
          </w:p>
        </w:tc>
      </w:tr>
      <w:tr>
        <w:tc>
          <w:tcPr/>
          <w:p>
            <w:pPr>
              <w:pStyle w:val="Compact"/>
              <w:jc w:val="left"/>
            </w:pPr>
            <w:r>
              <w:t xml:space="preserve">Scope 2 (Purchased Energy)</w:t>
            </w:r>
          </w:p>
        </w:tc>
        <w:tc>
          <w:tcPr/>
          <w:p>
            <w:pPr>
              <w:pStyle w:val="Compact"/>
              <w:jc w:val="left"/>
            </w:pPr>
            <w:r>
              <w:t xml:space="preserve">2.8</w:t>
            </w:r>
          </w:p>
        </w:tc>
      </w:tr>
      <w:tr>
        <w:tc>
          <w:tcPr/>
          <w:p>
            <w:pPr>
              <w:pStyle w:val="Compact"/>
              <w:jc w:val="left"/>
            </w:pPr>
            <w:r>
              <w:t xml:space="preserve">Scope 3 (Upstream - Materials &amp; Inbound Transport)</w:t>
            </w:r>
          </w:p>
        </w:tc>
        <w:tc>
          <w:tcPr/>
          <w:p>
            <w:pPr>
              <w:pStyle w:val="Compact"/>
              <w:jc w:val="left"/>
            </w:pPr>
            <w:r>
              <w:t xml:space="preserve">173.465</w:t>
            </w:r>
          </w:p>
        </w:tc>
      </w:tr>
      <w:tr>
        <w:tc>
          <w:tcPr/>
          <w:p>
            <w:pPr>
              <w:pStyle w:val="Compact"/>
              <w:jc w:val="left"/>
            </w:pPr>
            <w:r>
              <w:t xml:space="preserve">Scope 3 (Downstream - Outbound Transport, Use Phase, EoL)</w:t>
            </w:r>
          </w:p>
        </w:tc>
        <w:tc>
          <w:tcPr/>
          <w:p>
            <w:pPr>
              <w:pStyle w:val="Compact"/>
              <w:jc w:val="left"/>
            </w:pPr>
            <w:r>
              <w:t xml:space="preserve">222.816</w:t>
            </w:r>
          </w:p>
        </w:tc>
      </w:tr>
      <w:tr>
        <w:tc>
          <w:tcPr/>
          <w:p>
            <w:pPr>
              <w:pStyle w:val="Compact"/>
              <w:jc w:val="left"/>
            </w:pPr>
            <w:r>
              <w:rPr>
                <w:bCs/>
                <w:b/>
              </w:rPr>
              <w:t xml:space="preserve">Total Product Carbon Footprint</w:t>
            </w:r>
          </w:p>
        </w:tc>
        <w:tc>
          <w:tcPr/>
          <w:p>
            <w:pPr>
              <w:pStyle w:val="Compact"/>
              <w:jc w:val="left"/>
            </w:pPr>
            <w:r>
              <w:rPr>
                <w:bCs/>
                <w:b/>
              </w:rPr>
              <w:t xml:space="preserve">399.581</w:t>
            </w:r>
          </w:p>
        </w:tc>
      </w:tr>
    </w:tbl>
    <w:p>
      <w:pPr>
        <w:pStyle w:val="BodyText"/>
      </w:pPr>
      <w:r>
        <w:t xml:space="preserve">The total Product Carbon Footprint for \'vpppqrsngq\' is approximately</w:t>
      </w:r>
      <w:r>
        <w:t xml:space="preserve"> </w:t>
      </w:r>
      <w:r>
        <w:rPr>
          <w:bCs/>
          <w:b/>
        </w:rPr>
        <w:t xml:space="preserve">399.581 kg CO2e per unit</w:t>
      </w:r>
      <w:r>
        <w:t xml:space="preserve">.</w:t>
      </w:r>
    </w:p>
    <w:bookmarkEnd w:id="41"/>
    <w:bookmarkStart w:id="42" w:name="X439aeab12f653c5be8a9767687610423a65f1bc"/>
    <w:p>
      <w:pPr>
        <w:pStyle w:val="Heading3"/>
      </w:pPr>
      <w:r>
        <w:t xml:space="preserve">4.5 2026 LSR Update: Land Sector and Removals (LSR) Standard</w:t>
      </w:r>
    </w:p>
    <w:p>
      <w:pPr>
        <w:pStyle w:val="FirstParagraph"/>
      </w:pPr>
      <w:r>
        <w:t xml:space="preserve">In adherence to the 2026 LSR Standard, this PCF analysis considers any land use change emissions or carbon removals directly attributable to the product\'s value chain. For \'vpppqrsngq\', given the general description, no specific direct land-use change or significant biogenic carbon flows (e.g., deforestation for material sourcing or significant bio-based product sequestration) were identified in the illustrative BOM. Therefore, the direct LSR impact is assumed to be negligible in this assessment. If the \'kytkonuh\' BOM contained details on bio-based materials with certified carbon removals or land-use emissions, these would be explicitly quantified and reported under the LSR Standard.</w:t>
      </w:r>
    </w:p>
    <w:p>
      <w:r>
        <w:pict>
          <v:rect style="width:0;height:1.5pt" o:hralign="center" o:hrstd="t" o:hr="t"/>
        </w:pict>
      </w:r>
    </w:p>
    <w:bookmarkEnd w:id="42"/>
    <w:bookmarkEnd w:id="43"/>
    <w:bookmarkStart w:id="46"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The analysis of \'vpppqrsngq\' reveals the following major emission hotspots, indicating key areas for potential mitigation:</w:t>
      </w:r>
    </w:p>
    <w:p>
      <w:pPr>
        <w:numPr>
          <w:ilvl w:val="0"/>
          <w:numId w:val="1015"/>
        </w:numPr>
        <w:pStyle w:val="Compact"/>
      </w:pPr>
      <w:r>
        <w:rPr>
          <w:bCs/>
          <w:b/>
        </w:rPr>
        <w:t xml:space="preserve">Scope 3 - Downstream Emissions (Use Phase &amp; Outbound Transport):</w:t>
      </w:r>
      <w:r>
        <w:t xml:space="preserve"> </w:t>
      </w:r>
      <w:r>
        <w:t xml:space="preserve">Constitutes the largest portion of the footprint. The assumed energy consumption during the product\'s operational lifespan and the considerable distances for outbound distribution are significant contributors.</w:t>
      </w:r>
    </w:p>
    <w:p>
      <w:pPr>
        <w:numPr>
          <w:ilvl w:val="0"/>
          <w:numId w:val="1015"/>
        </w:numPr>
        <w:pStyle w:val="Compact"/>
      </w:pPr>
      <w:r>
        <w:rPr>
          <w:bCs/>
          <w:b/>
        </w:rPr>
        <w:t xml:space="preserve">Scope 3 - Upstream Emissions (Inbound Transport &amp; Materials):</w:t>
      </w:r>
      <w:r>
        <w:t xml:space="preserve"> </w:t>
      </w:r>
      <w:r>
        <w:t xml:space="preserve">Raw material acquisition and processing, coupled with inbound logistics (e.g., from Europe to China), form the next major category. The assumed long-distance transport is a substantial factor here.</w:t>
      </w:r>
    </w:p>
    <w:p>
      <w:pPr>
        <w:numPr>
          <w:ilvl w:val="0"/>
          <w:numId w:val="1015"/>
        </w:numPr>
        <w:pStyle w:val="Compact"/>
      </w:pPr>
      <w:r>
        <w:rPr>
          <w:bCs/>
          <w:b/>
        </w:rPr>
        <w:t xml:space="preserve">Material Impacts:</w:t>
      </w:r>
      <w:r>
        <w:t xml:space="preserve"> </w:t>
      </w:r>
      <w:r>
        <w:t xml:space="preserve">While smaller than transport and use phase in this specific calculation, the embodied carbon in materials (particularly electronics and metals) remains a critical area for focus, especially if transport distances were shorter or energy in use lower.</w:t>
      </w:r>
    </w:p>
    <w:bookmarkEnd w:id="44"/>
    <w:bookmarkStart w:id="45" w:name="reliability-and-recommendations"/>
    <w:p>
      <w:pPr>
        <w:pStyle w:val="Heading3"/>
      </w:pPr>
      <w:r>
        <w:t xml:space="preserve">5.2 Reliability and Recommendations</w:t>
      </w:r>
    </w:p>
    <w:p>
      <w:pPr>
        <w:pStyle w:val="FirstParagraph"/>
      </w:pPr>
      <w:r>
        <w:t xml:space="preserve">The reliability of this PCF is good, benefiting from the specified detailed BOM structure and explicit parameters. However, the calculation relies on assumed numerical values for several input parameters (e.g., transport distance, energy intensity, lifespan) where only placeholder strings were provided. To significantly enhance the accuracy and robustness of future PCF analyses for \'vpppqkgys\', the following recommendations are made:</w:t>
      </w:r>
    </w:p>
    <w:p>
      <w:pPr>
        <w:numPr>
          <w:ilvl w:val="0"/>
          <w:numId w:val="1016"/>
        </w:numPr>
        <w:pStyle w:val="Compact"/>
      </w:pPr>
      <w:r>
        <w:rPr>
          <w:bCs/>
          <w:b/>
        </w:rPr>
        <w:t xml:space="preserve">Primary Data Collection:</w:t>
      </w:r>
      <w:r>
        <w:t xml:space="preserve"> </w:t>
      </w:r>
      <w:r>
        <w:t xml:space="preserve">Prioritize collecting actual, measured data for all quantitative parameters. This includes precise transport distances (`qnqleujxyi`), actual renewable energy procurement data (`vmwxteudhk`), measured energy intensity (`esvxrngiim`), verified product lifespan (`wpnrkpjqrm`), and empirical energy consumption during the use phase (`witegkvele`).</w:t>
      </w:r>
    </w:p>
    <w:p>
      <w:pPr>
        <w:numPr>
          <w:ilvl w:val="0"/>
          <w:numId w:val="1016"/>
        </w:numPr>
        <w:pStyle w:val="Compact"/>
      </w:pPr>
      <w:r>
        <w:rPr>
          <w:bCs/>
          <w:b/>
        </w:rPr>
        <w:t xml:space="preserve">Specific Emission Factors:</w:t>
      </w:r>
      <w:r>
        <w:t xml:space="preserve"> </w:t>
      </w:r>
      <w:r>
        <w:t xml:space="preserve">Implement product-specific or regional emission factors from accredited databases (e.g., Ecoinvent, GaBi, national LCA databases) for all materials, energy sources, and transport modes. This will replace generic industry averages used in this report.</w:t>
      </w:r>
    </w:p>
    <w:p>
      <w:pPr>
        <w:numPr>
          <w:ilvl w:val="0"/>
          <w:numId w:val="1016"/>
        </w:numPr>
        <w:pStyle w:val="Compact"/>
      </w:pPr>
      <w:r>
        <w:rPr>
          <w:bCs/>
          <w:b/>
        </w:rPr>
        <w:t xml:space="preserve">Granular Scope 3 Analysis:</w:t>
      </w:r>
      <w:r>
        <w:t xml:space="preserve"> </w:t>
      </w:r>
      <w:r>
        <w:t xml:space="preserve">Conduct a more granular breakdown of Scope 3 categories. For instance, delve into the specific types of electronic components, their country of origin, and associated manufacturing processes to refine material impact calculations.</w:t>
      </w:r>
    </w:p>
    <w:p>
      <w:pPr>
        <w:numPr>
          <w:ilvl w:val="0"/>
          <w:numId w:val="1016"/>
        </w:numPr>
        <w:pStyle w:val="Compact"/>
      </w:pPr>
      <w:r>
        <w:rPr>
          <w:bCs/>
          <w:b/>
        </w:rPr>
        <w:t xml:space="preserve">LSR Data Integration:</w:t>
      </w:r>
      <w:r>
        <w:t xml:space="preserve"> </w:t>
      </w:r>
      <w:r>
        <w:t xml:space="preserve">If \'vpppqrsngq\' incorporates any bio-based materials, conduct a thorough assessment for land-use change emissions and carbon removals, ensuring full compliance with the 2026 LSR Standard. This requires tracing the origin and land management practices of such materials.</w:t>
      </w:r>
    </w:p>
    <w:p>
      <w:pPr>
        <w:numPr>
          <w:ilvl w:val="0"/>
          <w:numId w:val="1016"/>
        </w:numPr>
        <w:pStyle w:val="Compact"/>
      </w:pPr>
      <w:r>
        <w:rPr>
          <w:bCs/>
          <w:b/>
        </w:rPr>
        <w:t xml:space="preserve">Circular Economy Impact Validation:</w:t>
      </w:r>
      <w:r>
        <w:t xml:space="preserve"> </w:t>
      </w:r>
      <w:r>
        <w:t xml:space="preserve">Quantify the actual impact of \'rwwjlksuyi\' (Circular/Take-back Programs) by tracking return rates, material recovery efficiency, and the quality of recycled content. This will allow for more precise calculation of avoided emissions credits.</w:t>
      </w:r>
    </w:p>
    <w:p>
      <w:pPr>
        <w:pStyle w:val="FirstParagraph"/>
      </w:pPr>
      <w:r>
        <w:t xml:space="preserve">By implementing these recommendations, qqvpmjwepy can establish a highly accurate and actionable PCF for \'vpppqrsngq\', enabling the development of targeted emission reduction strategies. Focus areas should include optimizing energy efficiency in the use phase, exploring alternative transportation modes or localizing supply chains to reduce transport emissions, and further integrating circular economy principles throughout the product lifecycle.</w:t>
      </w:r>
    </w:p>
    <w:p>
      <w:r>
        <w:pict>
          <v:rect style="width:0;height:1.5pt" o:hralign="center" o:hrstd="t" o:hr="t"/>
        </w:pict>
      </w:r>
    </w:p>
    <w:bookmarkEnd w:id="45"/>
    <w:bookmarkEnd w:id="46"/>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vpppqrsngq</dc:title>
  <dc:creator/>
  <dc:description>Detailed Product Carbon Footprint (PCF) analysis report for product vpppqrsngq, following GHG Protocol standards, conducted by ldupkqkgys for qqvpmjwepy.</dc:description>
  <cp:keywords/>
  <dcterms:created xsi:type="dcterms:W3CDTF">2026-05-30T15:54:44Z</dcterms:created>
  <dcterms:modified xsi:type="dcterms:W3CDTF">2026-05-30T15:54:44Z</dcterms:modified>
</cp:coreProperties>
</file>

<file path=docProps/custom.xml><?xml version="1.0" encoding="utf-8"?>
<Properties xmlns="http://schemas.openxmlformats.org/officeDocument/2006/custom-properties" xmlns:vt="http://schemas.openxmlformats.org/officeDocument/2006/docPropsVTypes"/>
</file>