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vorlfvwxtv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vorlfvwxtv</w:t>
      </w:r>
    </w:p>
    <w:p>
      <w:pPr>
        <w:pStyle w:val="BodyText"/>
      </w:pPr>
      <w:r>
        <w:rPr>
          <w:bCs/>
          <w:b/>
        </w:rPr>
        <w:t xml:space="preserve">Company:</w:t>
      </w:r>
      <w:r>
        <w:t xml:space="preserve"> </w:t>
      </w:r>
      <w:r>
        <w:t xml:space="preserve">kefoydwlpt</w:t>
      </w:r>
    </w:p>
    <w:p>
      <w:pPr>
        <w:pStyle w:val="BodyText"/>
      </w:pPr>
      <w:r>
        <w:rPr>
          <w:bCs/>
          <w:b/>
        </w:rPr>
        <w:t xml:space="preserve">Senior Sustainability Consultant:</w:t>
      </w:r>
      <w:r>
        <w:t xml:space="preserve"> </w:t>
      </w:r>
      <w:r>
        <w:t xml:space="preserve">tdiiyjlzlg</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employing illustrative parameters where specific numerical inputs were provided as placeholders. Actual values for these parameters would be required for a definitive, high-accuracy assessment.</w:t>
      </w:r>
    </w:p>
    <w:bookmarkEnd w:id="20"/>
    <w:bookmarkStart w:id="21" w:name="X2885a94286cbbb90f079b44689305ca18d77896"/>
    <w:p>
      <w:pPr>
        <w:pStyle w:val="Heading1"/>
      </w:pPr>
      <w:r>
        <w:t xml:space="preserve">Product Carbon Footprint Analysis for vorlfvwxtv</w:t>
      </w:r>
    </w:p>
    <w:p>
      <w:pPr>
        <w:pStyle w:val="FirstParagraph"/>
      </w:pPr>
      <w:r>
        <w:rPr>
          <w:bCs/>
          <w:b/>
        </w:rPr>
        <w:t xml:space="preserve">Prepared for:</w:t>
      </w:r>
      <w:r>
        <w:t xml:space="preserve"> </w:t>
      </w:r>
      <w:r>
        <w:t xml:space="preserve">kefoydwlpt</w:t>
      </w:r>
    </w:p>
    <w:p>
      <w:pPr>
        <w:pStyle w:val="BodyText"/>
      </w:pPr>
      <w:r>
        <w:rPr>
          <w:bCs/>
          <w:b/>
        </w:rPr>
        <w:t xml:space="preserve">Prepared by:</w:t>
      </w:r>
      <w:r>
        <w:t xml:space="preserve"> </w:t>
      </w:r>
      <w:r>
        <w:t xml:space="preserve">tdiiyjlzlg, Senior Sustainability Consultant</w:t>
      </w:r>
    </w:p>
    <w:p>
      <w:pPr>
        <w:pStyle w:val="BodyText"/>
      </w:pPr>
      <w:r>
        <w:rPr>
          <w:bCs/>
          <w:b/>
        </w:rPr>
        <w:t xml:space="preserve">Generated Date:</w:t>
      </w:r>
      <w:r>
        <w:t xml:space="preserve"> </w:t>
      </w:r>
      <w:r>
        <w:t xml:space="preserve">June 3, 2026</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vorlfvwxtv, manufactured by kefoydwlpt. Conducted by Senior Sustainability Consultant tdiiyjlzlg, this analysis adheres to the GHG Protocol accounting standard, incorporating the 2026 Land Sector and Removals (LSR) update and ensuring comprehensive Scope 3 coverage. The PCF quantifies the total greenhouse gas emissions associated with the product\'s entire lifecycle, from raw material extraction through manufacturing, transport, use, and end-of-life. The analysis identifies key emission hotspots and provides insights for potential decarbonization strategies.</w:t>
      </w:r>
    </w:p>
    <w:p>
      <w:pPr>
        <w:pStyle w:val="BodyText"/>
      </w:pPr>
      <w:r>
        <w:t xml:space="preserve">Based on the provided (illustrative) parameters, the total estimated cradle-to-grave carbon footprint for one functional unit of vorlfvwxtv is approximately</w:t>
      </w:r>
      <w:r>
        <w:t xml:space="preserve"> </w:t>
      </w:r>
      <w:r>
        <w:rPr>
          <w:bCs/>
          <w:b/>
        </w:rPr>
        <w:t xml:space="preserve">205.46 kgCO2e</w:t>
      </w:r>
      <w:r>
        <w:t xml:space="preserve">. The Use Phase contributes the most significant portion of the emissions, highlighting the importance of energy efficiency during product operation.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analysis, ensuring clarity and consistency in the assessment.</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vorlfvwxtv</w:t>
      </w:r>
      <w:r>
        <w:t xml:space="preserve">. This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PCF is set as</w:t>
      </w:r>
      <w:r>
        <w:t xml:space="preserve"> </w:t>
      </w:r>
      <w:r>
        <w:rPr>
          <w:bCs/>
          <w:b/>
        </w:rPr>
        <w:t xml:space="preserve">"factory_gate"</w:t>
      </w:r>
      <w:r>
        <w:t xml:space="preserve"> </w:t>
      </w:r>
      <w:r>
        <w:t xml:space="preserve">for the primary production phase, extending to a "cradle-to-grave" approach for the overall product lifecycle. This includes raw material acquisition, manufacturing, transportation,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initial processing before shipment to China).</w:t>
      </w:r>
    </w:p>
    <w:p>
      <w:pPr>
        <w:numPr>
          <w:ilvl w:val="0"/>
          <w:numId w:val="1001"/>
        </w:numPr>
        <w:pStyle w:val="Compact"/>
      </w:pPr>
      <w:r>
        <w:rPr>
          <w:bCs/>
          <w:b/>
        </w:rPr>
        <w:t xml:space="preserve">Accounting Standard:</w:t>
      </w:r>
      <w:r>
        <w:t xml:space="preserve"> </w:t>
      </w:r>
      <w:r>
        <w:t xml:space="preserve">The methodology strictly adheres to the</w:t>
      </w:r>
      <w:r>
        <w:t xml:space="preserve"> </w:t>
      </w:r>
      <w:r>
        <w:rPr>
          <w:bCs/>
          <w:b/>
        </w:rPr>
        <w:t xml:space="preserve">GHG Protocol (Product Life Cycle Accounting and Reporting Standard)</w:t>
      </w:r>
      <w:r>
        <w:t xml:space="preserve">. This includes categorization of emissions into Scope 1 (direct), Scope 2 (purchased energy), and Scope 3 (value chain) categories.</w:t>
      </w:r>
    </w:p>
    <w:p>
      <w:pPr>
        <w:numPr>
          <w:ilvl w:val="0"/>
          <w:numId w:val="1001"/>
        </w:numPr>
        <w:pStyle w:val="Compact"/>
      </w:pPr>
      <w:r>
        <w:rPr>
          <w:bCs/>
          <w:b/>
        </w:rPr>
        <w:t xml:space="preserve">Allocation:</w:t>
      </w:r>
      <w:r>
        <w:t xml:space="preserve"> </w:t>
      </w:r>
      <w:r>
        <w:t xml:space="preserve">Where co-production or multi-product systems exist, allocation of environmental burdens is performed based on mass allocation principles unless otherwise specified by the GHG Protocol guidelines for specific processes.</w:t>
      </w:r>
    </w:p>
    <w:p>
      <w:r>
        <w:pict>
          <v:rect style="width:0;height:1.5pt" o:hralign="center" o:hrstd="t" o:hr="t"/>
        </w:pict>
      </w:r>
    </w:p>
    <w:bookmarkEnd w:id="23"/>
    <w:bookmarkStart w:id="29" w:name="X67732acf517e1871e43c0008bdde059f2e0db22"/>
    <w:p>
      <w:pPr>
        <w:pStyle w:val="Heading2"/>
      </w:pPr>
      <w:r>
        <w:t xml:space="preserve">2. Map Lifecycle &amp; 3. Collect Data (LCI Inventory &amp; Data Collection)</w:t>
      </w:r>
    </w:p>
    <w:p>
      <w:pPr>
        <w:pStyle w:val="FirstParagraph"/>
      </w:pPr>
      <w:r>
        <w:t xml:space="preserve">This section details the lifecycle stages considered and the primary and secondary data points collected for the Product Carbon Footprint analysis. Due to the placeholder nature of some input parameters, illustrative data based on industry averages and best estimates has been used where actual figures were not provided.</w:t>
      </w:r>
    </w:p>
    <w:bookmarkStart w:id="24" w:name="X1428ec1d1885feb992205144a5c6ed055eb01cb"/>
    <w:p>
      <w:pPr>
        <w:pStyle w:val="Heading3"/>
      </w:pPr>
      <w:r>
        <w:t xml:space="preserve">2.1. Material Inputs (Detailed Bill of Materials - BOM)</w:t>
      </w:r>
    </w:p>
    <w:p>
      <w:pPr>
        <w:pStyle w:val="FirstParagraph"/>
      </w:pPr>
      <w:r>
        <w:t xml:space="preserve">The following table provides a detailed breakdown of the materials used in the vorlfvwxtv product, as per the provided BOM (oexknevh). Emission factors are based on industry-standard databases (e.g., Ecoinvent, DEFRA) and reflect a Europe-focused supply chain for material acquisition, even if final assembly is in China. The "Total Carbon" represents the cradle-to-gate impact of each material before product assembly.</w:t>
      </w:r>
    </w:p>
    <w:p>
      <w:pPr>
        <w:pStyle w:val="BodyText"/>
      </w:pPr>
      <w:r>
        <w:rPr>
          <w:iCs/>
          <w:i/>
        </w:rPr>
        <w:t xml:space="preserve">Note: The specific BOM "oexknevh" was provided as a string placeholder. The following table illustrates the structure and content based on the described format (ID, Description, Category, Process, Qty, Unit, Emission Factor, Total Carbon) using estimated values for a typical product.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Subtotal Material Impact:</w:t>
            </w:r>
          </w:p>
        </w:tc>
        <w:tc>
          <w:tcPr/>
          <w:p>
            <w:pPr>
              <w:pStyle w:val="Compact"/>
              <w:jc w:val="left"/>
            </w:pPr>
            <w:r>
              <w:t xml:space="preserve">7.71</w:t>
            </w:r>
          </w:p>
        </w:tc>
      </w:tr>
    </w:tbl>
    <w:bookmarkEnd w:id="24"/>
    <w:bookmarkStart w:id="25" w:name="energy-inputs-production-phase"/>
    <w:p>
      <w:pPr>
        <w:pStyle w:val="Heading3"/>
      </w:pPr>
      <w:r>
        <w:t xml:space="preserve">2.2. Energy Inputs (Production Phase)</w:t>
      </w:r>
    </w:p>
    <w:p>
      <w:pPr>
        <w:pStyle w:val="FirstParagraph"/>
      </w:pPr>
      <w:r>
        <w:t xml:space="preserve">The energy consumed during the manufacturing of vorlfvwxtv at the final production facility in China is a critical input. The data incorporates the specified renewable energy usage and energy intensity.</w:t>
      </w:r>
    </w:p>
    <w:p>
      <w:pPr>
        <w:numPr>
          <w:ilvl w:val="0"/>
          <w:numId w:val="1003"/>
        </w:numPr>
        <w:pStyle w:val="Compact"/>
      </w:pPr>
      <w:r>
        <w:rPr>
          <w:bCs/>
          <w:b/>
        </w:rPr>
        <w:t xml:space="preserve">Energy Intensity (kWh/unit):</w:t>
      </w:r>
      <w:r>
        <w:t xml:space="preserve"> </w:t>
      </w:r>
      <w:r>
        <w:t xml:space="preserve">zohsiqqiko (Illustrative: 15 kWh/unit)</w:t>
      </w:r>
    </w:p>
    <w:p>
      <w:pPr>
        <w:numPr>
          <w:ilvl w:val="0"/>
          <w:numId w:val="1003"/>
        </w:numPr>
        <w:pStyle w:val="Compact"/>
      </w:pPr>
      <w:r>
        <w:rPr>
          <w:bCs/>
          <w:b/>
        </w:rPr>
        <w:t xml:space="preserve">Renewable Energy Usage (%):</w:t>
      </w:r>
      <w:r>
        <w:t xml:space="preserve"> </w:t>
      </w:r>
      <w:r>
        <w:t xml:space="preserve">jjenqpkzdo (Illustrative: 70%)</w:t>
      </w:r>
    </w:p>
    <w:p>
      <w:pPr>
        <w:numPr>
          <w:ilvl w:val="0"/>
          <w:numId w:val="1003"/>
        </w:numPr>
        <w:pStyle w:val="Compact"/>
      </w:pPr>
      <w:r>
        <w:rPr>
          <w:bCs/>
          <w:b/>
        </w:rPr>
        <w:t xml:space="preserve">Non-renewable Energy Usage:</w:t>
      </w:r>
      <w:r>
        <w:t xml:space="preserve"> </w:t>
      </w:r>
      <w:r>
        <w:t xml:space="preserve">30%</w:t>
      </w:r>
    </w:p>
    <w:p>
      <w:pPr>
        <w:numPr>
          <w:ilvl w:val="0"/>
          <w:numId w:val="1003"/>
        </w:numPr>
        <w:pStyle w:val="Compact"/>
      </w:pPr>
      <w:r>
        <w:rPr>
          <w:bCs/>
          <w:b/>
        </w:rPr>
        <w:t xml:space="preserve">Estimated Grid Emission Factor (China):</w:t>
      </w:r>
      <w:r>
        <w:t xml:space="preserve"> </w:t>
      </w:r>
      <w:r>
        <w:t xml:space="preserve">~0.6 kgCO2e/kWh (Illustrative, based on average grid mix).</w:t>
      </w:r>
    </w:p>
    <w:bookmarkEnd w:id="25"/>
    <w:bookmarkStart w:id="26" w:name="transport-logistics"/>
    <w:p>
      <w:pPr>
        <w:pStyle w:val="Heading3"/>
      </w:pPr>
      <w:r>
        <w:t xml:space="preserve">2.3. Transport Logistics</w:t>
      </w:r>
    </w:p>
    <w:p>
      <w:pPr>
        <w:pStyle w:val="FirstParagraph"/>
      </w:pPr>
      <w:r>
        <w:t xml:space="preserve">Transportation impacts cover both upstream movement of materials to the factory and downstream distribution of the finished product to the customer. This uses the specific logistics data provided as placeholders.</w:t>
      </w:r>
    </w:p>
    <w:p>
      <w:pPr>
        <w:numPr>
          <w:ilvl w:val="0"/>
          <w:numId w:val="1004"/>
        </w:numPr>
        <w:pStyle w:val="Compact"/>
      </w:pPr>
      <w:r>
        <w:rPr>
          <w:bCs/>
          <w:b/>
        </w:rPr>
        <w:t xml:space="preserve">Primary Transport Mode (Illustrative):</w:t>
      </w:r>
      <w:r>
        <w:t xml:space="preserve"> </w:t>
      </w:r>
      <w:r>
        <w:t xml:space="preserve">Select Mode (Assumed: Ocean Freight + Road Freight)</w:t>
      </w:r>
    </w:p>
    <w:p>
      <w:pPr>
        <w:numPr>
          <w:ilvl w:val="0"/>
          <w:numId w:val="1004"/>
        </w:numPr>
        <w:pStyle w:val="Compact"/>
      </w:pPr>
      <w:r>
        <w:rPr>
          <w:bCs/>
          <w:b/>
        </w:rPr>
        <w:t xml:space="preserve">Primary Transport Distance (Illustrative):</w:t>
      </w:r>
      <w:r>
        <w:t xml:space="preserve"> </w:t>
      </w:r>
      <w:r>
        <w:t xml:space="preserve">fxqjfsylnz (Assumed: 8000 km Ocean Freight, 500 km Road Freight for upstream; 500 km Road Freight for downstream)</w:t>
      </w:r>
    </w:p>
    <w:p>
      <w:pPr>
        <w:numPr>
          <w:ilvl w:val="0"/>
          <w:numId w:val="1004"/>
        </w:numPr>
        <w:pStyle w:val="Compact"/>
      </w:pPr>
      <w:r>
        <w:rPr>
          <w:bCs/>
          <w:b/>
        </w:rPr>
        <w:t xml:space="preserve">Last-Mile Delivery Channel (Illustrative):</w:t>
      </w:r>
      <w:r>
        <w:t xml:space="preserve"> </w:t>
      </w:r>
      <w:r>
        <w:t xml:space="preserve">Delivery Type (Assumed: Small Parcel Van)</w:t>
      </w:r>
    </w:p>
    <w:p>
      <w:pPr>
        <w:numPr>
          <w:ilvl w:val="0"/>
          <w:numId w:val="1004"/>
        </w:numPr>
        <w:pStyle w:val="Compact"/>
      </w:pPr>
      <w:r>
        <w:rPr>
          <w:bCs/>
          <w:b/>
        </w:rPr>
        <w:t xml:space="preserve">Assumed Product Weight for Transport:</w:t>
      </w:r>
      <w:r>
        <w:t xml:space="preserve"> </w:t>
      </w:r>
      <w:r>
        <w:t xml:space="preserve">1.0 kg/unit</w:t>
      </w:r>
    </w:p>
    <w:p>
      <w:pPr>
        <w:numPr>
          <w:ilvl w:val="0"/>
          <w:numId w:val="1004"/>
        </w:numPr>
        <w:pStyle w:val="Compact"/>
      </w:pPr>
      <w:r>
        <w:rPr>
          <w:bCs/>
          <w:b/>
        </w:rPr>
        <w:t xml:space="preserve">Typical Emission Factor (Ocean Freight):</w:t>
      </w:r>
      <w:r>
        <w:t xml:space="preserve"> </w:t>
      </w:r>
      <w:r>
        <w:t xml:space="preserve">~0.016 kgCO2e/tkm (16 gCO2e/tkm)</w:t>
      </w:r>
    </w:p>
    <w:p>
      <w:pPr>
        <w:numPr>
          <w:ilvl w:val="0"/>
          <w:numId w:val="1004"/>
        </w:numPr>
        <w:pStyle w:val="Compact"/>
      </w:pPr>
      <w:r>
        <w:rPr>
          <w:bCs/>
          <w:b/>
        </w:rPr>
        <w:t xml:space="preserve">Typical Emission Factor (Road Freight - Heavy Truck):</w:t>
      </w:r>
      <w:r>
        <w:t xml:space="preserve"> </w:t>
      </w:r>
      <w:r>
        <w:t xml:space="preserve">~0.09 kgCO2e/tkm (for European context, often lower than US factors)</w:t>
      </w:r>
    </w:p>
    <w:p>
      <w:pPr>
        <w:numPr>
          <w:ilvl w:val="0"/>
          <w:numId w:val="1004"/>
        </w:numPr>
        <w:pStyle w:val="Compact"/>
      </w:pPr>
      <w:r>
        <w:rPr>
          <w:bCs/>
          <w:b/>
        </w:rPr>
        <w:t xml:space="preserve">Typical Emission Factor (Small Parcel Van - Last Mile):</w:t>
      </w:r>
      <w:r>
        <w:t xml:space="preserve"> </w:t>
      </w:r>
      <w:r>
        <w:t xml:space="preserve">~1.0 kgCO2e/delivery (simplified per unit factor, accounting for vehicle inefficiencies and shorter distances).</w:t>
      </w:r>
    </w:p>
    <w:bookmarkEnd w:id="26"/>
    <w:bookmarkStart w:id="27" w:name="use-phase-data"/>
    <w:p>
      <w:pPr>
        <w:pStyle w:val="Heading3"/>
      </w:pPr>
      <w:r>
        <w:t xml:space="preserve">2.4. Use Phase Data</w:t>
      </w:r>
    </w:p>
    <w:p>
      <w:pPr>
        <w:pStyle w:val="FirstParagraph"/>
      </w:pPr>
      <w:r>
        <w:t xml:space="preserve">The use phase is often a significant contributor to a product\'s overall carbon footprint, especially for energy-consuming products. The following parameters define the impact during the product\'s operational life.</w:t>
      </w:r>
    </w:p>
    <w:p>
      <w:pPr>
        <w:numPr>
          <w:ilvl w:val="0"/>
          <w:numId w:val="1005"/>
        </w:numPr>
        <w:pStyle w:val="Compact"/>
      </w:pPr>
      <w:r>
        <w:rPr>
          <w:bCs/>
          <w:b/>
        </w:rPr>
        <w:t xml:space="preserve">Product Lifespan:</w:t>
      </w:r>
      <w:r>
        <w:t xml:space="preserve"> </w:t>
      </w:r>
      <w:r>
        <w:t xml:space="preserve">vyxsjlwlrr (Illustrative: 5 years)</w:t>
      </w:r>
    </w:p>
    <w:p>
      <w:pPr>
        <w:numPr>
          <w:ilvl w:val="0"/>
          <w:numId w:val="1005"/>
        </w:numPr>
        <w:pStyle w:val="Compact"/>
      </w:pPr>
      <w:r>
        <w:rPr>
          <w:bCs/>
          <w:b/>
        </w:rPr>
        <w:t xml:space="preserve">Energy Consumption in Use:</w:t>
      </w:r>
      <w:r>
        <w:t xml:space="preserve"> </w:t>
      </w:r>
      <w:r>
        <w:t xml:space="preserve">gkimrkudmm (Illustrative: 100 kWh/year)</w:t>
      </w:r>
    </w:p>
    <w:p>
      <w:pPr>
        <w:numPr>
          <w:ilvl w:val="0"/>
          <w:numId w:val="1005"/>
        </w:numPr>
        <w:pStyle w:val="Compact"/>
      </w:pPr>
      <w:r>
        <w:rPr>
          <w:bCs/>
          <w:b/>
        </w:rPr>
        <w:t xml:space="preserve">Assumed Average Grid Emission Factor (User Location):</w:t>
      </w:r>
      <w:r>
        <w:t xml:space="preserve"> </w:t>
      </w:r>
      <w:r>
        <w:t xml:space="preserve">~0.4 kgCO2e/kWh (Illustrative, common global average when specific user location mix is unknown).</w:t>
      </w:r>
    </w:p>
    <w:bookmarkEnd w:id="27"/>
    <w:bookmarkStart w:id="28" w:name="end-of-life-eol-scenarios"/>
    <w:p>
      <w:pPr>
        <w:pStyle w:val="Heading3"/>
      </w:pPr>
      <w:r>
        <w:t xml:space="preserve">2.5. End-of-Life (EoL) Scenarios</w:t>
      </w:r>
    </w:p>
    <w:p>
      <w:pPr>
        <w:pStyle w:val="FirstParagraph"/>
      </w:pPr>
      <w:r>
        <w:t xml:space="preserve">End-of-life treatment impacts are considered, including benefits from recycling or burdens from disposal.</w:t>
      </w:r>
    </w:p>
    <w:p>
      <w:pPr>
        <w:numPr>
          <w:ilvl w:val="0"/>
          <w:numId w:val="1006"/>
        </w:numPr>
        <w:pStyle w:val="Compact"/>
      </w:pPr>
      <w:r>
        <w:rPr>
          <w:bCs/>
          <w:b/>
        </w:rPr>
        <w:t xml:space="preserve">Recyclability Percentage:</w:t>
      </w:r>
      <w:r>
        <w:t xml:space="preserve"> </w:t>
      </w:r>
      <w:r>
        <w:t xml:space="preserve">ieqezhxuoh (Illustrative: 80%)</w:t>
      </w:r>
    </w:p>
    <w:p>
      <w:pPr>
        <w:numPr>
          <w:ilvl w:val="0"/>
          <w:numId w:val="1006"/>
        </w:numPr>
        <w:pStyle w:val="Compact"/>
      </w:pPr>
      <w:r>
        <w:rPr>
          <w:bCs/>
          <w:b/>
        </w:rPr>
        <w:t xml:space="preserve">Circular/Take-back Programs:</w:t>
      </w:r>
      <w:r>
        <w:t xml:space="preserve"> </w:t>
      </w:r>
      <w:r>
        <w:t xml:space="preserve">qgnejwuhzh (Illustrative: Company offers a product take-back program for end-of-life recycling.)</w:t>
      </w:r>
    </w:p>
    <w:p>
      <w:pPr>
        <w:numPr>
          <w:ilvl w:val="0"/>
          <w:numId w:val="1006"/>
        </w:numPr>
        <w:pStyle w:val="Compact"/>
      </w:pPr>
      <w:r>
        <w:rPr>
          <w:bCs/>
          <w:b/>
        </w:rPr>
        <w:t xml:space="preserve">Assumed Recycling Credit:</w:t>
      </w:r>
      <w:r>
        <w:t xml:space="preserve"> </w:t>
      </w:r>
      <w:r>
        <w:t xml:space="preserve">80% of material impact avoided due to recycling.</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This section details the calculation of greenhouse gas emissions across the product\'s lifecycle, categorized according to the GHG Protocol (Scope 1, 2, and 3). Emission factors are based on industry-standard databases, and calculations are performed for one functional unit of vorlfvwxtv.</w:t>
      </w:r>
    </w:p>
    <w:bookmarkStart w:id="30" w:name="scope-1-emissions-direct-emissions"/>
    <w:p>
      <w:pPr>
        <w:pStyle w:val="Heading3"/>
      </w:pPr>
      <w:r>
        <w:t xml:space="preserve">4.1. Scope 1 Emissions (Direct Emissions)</w:t>
      </w:r>
    </w:p>
    <w:p>
      <w:pPr>
        <w:pStyle w:val="FirstParagraph"/>
      </w:pPr>
      <w:r>
        <w:t xml:space="preserve">Scope 1 covers direct emissions from sources owned or controlled by kefoydwlpt. For this \'factory_gate\' boundary and the provided parameters focusing on electricity intensity, direct emissions such as on-site fuel combustion or refrigerant leaks are assumed to be negligible or not explicitly provided within the scope of customization. Therefore, Scope 1 emissions are considered 0 for this analysis, unless more specific direct operational data were to be provided.</w:t>
      </w:r>
    </w:p>
    <w:p>
      <w:pPr>
        <w:numPr>
          <w:ilvl w:val="0"/>
          <w:numId w:val="1007"/>
        </w:numPr>
        <w:pStyle w:val="Compact"/>
      </w:pPr>
      <w:r>
        <w:rPr>
          <w:bCs/>
          <w:b/>
        </w:rPr>
        <w:t xml:space="preserve">Total Scope 1 Emissions: 0.00 kgCO2e</w:t>
      </w:r>
    </w:p>
    <w:bookmarkEnd w:id="30"/>
    <w:bookmarkStart w:id="31" w:name="scope-2-emissions-purchased-energy"/>
    <w:p>
      <w:pPr>
        <w:pStyle w:val="Heading3"/>
      </w:pPr>
      <w:r>
        <w:t xml:space="preserve">4.2. Scope 2 Emissions (Purchased Energy)</w:t>
      </w:r>
    </w:p>
    <w:p>
      <w:pPr>
        <w:pStyle w:val="FirstParagraph"/>
      </w:pPr>
      <w:r>
        <w:t xml:space="preserve">Scope 2 emissions account for indirect emissions from the generation of purchased electricity, heat, or steam consumed by the company. In this case, it pertains to the electricity consumed during the production phase of vorlfvwxtv.</w:t>
      </w:r>
    </w:p>
    <w:p>
      <w:pPr>
        <w:numPr>
          <w:ilvl w:val="0"/>
          <w:numId w:val="1008"/>
        </w:numPr>
        <w:pStyle w:val="Compact"/>
      </w:pPr>
      <w:r>
        <w:t xml:space="preserve">Energy Intensity (kWh/unit): 15 kWh/unit</w:t>
      </w:r>
    </w:p>
    <w:p>
      <w:pPr>
        <w:numPr>
          <w:ilvl w:val="0"/>
          <w:numId w:val="1008"/>
        </w:numPr>
        <w:pStyle w:val="Compact"/>
      </w:pPr>
      <w:r>
        <w:t xml:space="preserve">Renewable Energy Usage: 70%</w:t>
      </w:r>
    </w:p>
    <w:p>
      <w:pPr>
        <w:numPr>
          <w:ilvl w:val="0"/>
          <w:numId w:val="1008"/>
        </w:numPr>
        <w:pStyle w:val="Compact"/>
      </w:pPr>
      <w:r>
        <w:t xml:space="preserve">Non-renewable Electricity Consumption: 15 kWh/unit * (1 - 0.70) = 4.5 kWh/unit</w:t>
      </w:r>
    </w:p>
    <w:p>
      <w:pPr>
        <w:numPr>
          <w:ilvl w:val="0"/>
          <w:numId w:val="1008"/>
        </w:numPr>
        <w:pStyle w:val="Compact"/>
      </w:pPr>
      <w:r>
        <w:t xml:space="preserve">Estimated Grid Emission Factor (China): 0.6 kgCO2e/kWh</w:t>
      </w:r>
    </w:p>
    <w:p>
      <w:pPr>
        <w:numPr>
          <w:ilvl w:val="0"/>
          <w:numId w:val="1008"/>
        </w:numPr>
        <w:pStyle w:val="Compact"/>
      </w:pPr>
      <w:r>
        <w:rPr>
          <w:bCs/>
          <w:b/>
        </w:rPr>
        <w:t xml:space="preserve">Scope 2 Emissions:</w:t>
      </w:r>
      <w:r>
        <w:t xml:space="preserve"> </w:t>
      </w:r>
      <w:r>
        <w:t xml:space="preserve">4.5 kWh/unit * 0.6 kgCO2e/kWh =</w:t>
      </w:r>
      <w:r>
        <w:t xml:space="preserve"> </w:t>
      </w:r>
      <w:r>
        <w:rPr>
          <w:bCs/>
          <w:b/>
        </w:rPr>
        <w:t xml:space="preserve">2.70 kgCO2e</w:t>
      </w:r>
    </w:p>
    <w:bookmarkEnd w:id="31"/>
    <w:bookmarkStart w:id="34" w:name="scope-3-emissions-value-chain-emissions"/>
    <w:p>
      <w:pPr>
        <w:pStyle w:val="Heading3"/>
      </w:pPr>
      <w:r>
        <w:t xml:space="preserve">4.3. Scope 3 Emissions (Value Chain Emissions)</w:t>
      </w:r>
    </w:p>
    <w:p>
      <w:pPr>
        <w:pStyle w:val="FirstParagraph"/>
      </w:pPr>
      <w:r>
        <w:t xml:space="preserve">Scope 3 encompasses all other indirect emissions that occur in the value chain of kefoydwlpt, both upstream and downstream. This forms the largest portion of the product\'s footprint and requires at least 95% coverage as per 2026 GHG Protocol requirements.</w:t>
      </w:r>
    </w:p>
    <w:bookmarkStart w:id="32" w:name="upstream-emissions"/>
    <w:p>
      <w:pPr>
        <w:pStyle w:val="Heading4"/>
      </w:pPr>
      <w:r>
        <w:t xml:space="preserve">4.3.1. Upstream Emissions</w:t>
      </w:r>
    </w:p>
    <w:p>
      <w:pPr>
        <w:numPr>
          <w:ilvl w:val="0"/>
          <w:numId w:val="1009"/>
        </w:numPr>
        <w:pStyle w:val="Compact"/>
      </w:pPr>
      <w:r>
        <w:rPr>
          <w:bCs/>
          <w:b/>
        </w:rPr>
        <w:t xml:space="preserve">Materials (Category 1: Purchased Goods and Services):</w:t>
      </w:r>
    </w:p>
    <w:p>
      <w:pPr>
        <w:numPr>
          <w:ilvl w:val="1"/>
          <w:numId w:val="1010"/>
        </w:numPr>
        <w:pStyle w:val="Compact"/>
      </w:pPr>
      <w:r>
        <w:t xml:space="preserve">Aluminum Casing: 0.5 kg * 10.0 kgCO2e/kg = 5.00 kgCO2e (Illustrative, typical range 6.6-17.07 kgCO2e/kg for primary aluminum)</w:t>
      </w:r>
    </w:p>
    <w:p>
      <w:pPr>
        <w:numPr>
          <w:ilvl w:val="1"/>
          <w:numId w:val="1010"/>
        </w:numPr>
        <w:pStyle w:val="Compact"/>
      </w:pPr>
      <w:r>
        <w:t xml:space="preserve">Plastic Components: 0.3 kg * 3.5 kgCO2e/kg = 1.05 kgCO2e (Illustrative, typical range 1.1-4.43 kgCO2e/kg for various plastics/processes)</w:t>
      </w:r>
    </w:p>
    <w:p>
      <w:pPr>
        <w:numPr>
          <w:ilvl w:val="1"/>
          <w:numId w:val="1010"/>
        </w:numPr>
        <w:pStyle w:val="Compact"/>
      </w:pPr>
      <w:r>
        <w:t xml:space="preserve">Electronic Board: 0.1 unit * 15.0 kgCO2e/unit = 1.50 kgCO2e (Illustrative, given complexity, general electronic components data ranges)</w:t>
      </w:r>
    </w:p>
    <w:p>
      <w:pPr>
        <w:numPr>
          <w:ilvl w:val="1"/>
          <w:numId w:val="1010"/>
        </w:numPr>
        <w:pStyle w:val="Compact"/>
      </w:pPr>
      <w:r>
        <w:t xml:space="preserve">Packaging (Cardboard): 0.2 kg * 0.8 kgCO2e/kg = 0.16 kgCO2e (Illustrative, typical range 0.326-1.53 kgCO2e/kg for cardboard)</w:t>
      </w:r>
    </w:p>
    <w:p>
      <w:pPr>
        <w:numPr>
          <w:ilvl w:val="1"/>
          <w:numId w:val="1010"/>
        </w:numPr>
        <w:pStyle w:val="Compact"/>
      </w:pPr>
      <w:r>
        <w:rPr>
          <w:bCs/>
          <w:b/>
        </w:rPr>
        <w:t xml:space="preserve">Subtotal Material Emissions: 7.71 kgCO2e</w:t>
      </w:r>
    </w:p>
    <w:p>
      <w:pPr>
        <w:numPr>
          <w:ilvl w:val="0"/>
          <w:numId w:val="1009"/>
        </w:numPr>
        <w:pStyle w:val="Compact"/>
      </w:pPr>
      <w:r>
        <w:rPr>
          <w:bCs/>
          <w:b/>
        </w:rPr>
        <w:t xml:space="preserve">Upstream Transportation &amp; Distribution (Category 4: Upstream Transportation and Distribution):</w:t>
      </w:r>
    </w:p>
    <w:p>
      <w:pPr>
        <w:numPr>
          <w:ilvl w:val="1"/>
          <w:numId w:val="1011"/>
        </w:numPr>
        <w:pStyle w:val="Compact"/>
      </w:pPr>
      <w:r>
        <w:t xml:space="preserve">Product Weight: 1.0 kg (Assumed for transport calculation)</w:t>
      </w:r>
    </w:p>
    <w:p>
      <w:pPr>
        <w:numPr>
          <w:ilvl w:val="1"/>
          <w:numId w:val="1011"/>
        </w:numPr>
        <w:pStyle w:val="Compact"/>
      </w:pPr>
      <w:r>
        <w:t xml:space="preserve">Ocean Freight (Europe to China): 8000 km * 0.001 tonne * 0.016 kgCO2e/tkm = 0.128 kgCO2e</w:t>
      </w:r>
    </w:p>
    <w:p>
      <w:pPr>
        <w:numPr>
          <w:ilvl w:val="1"/>
          <w:numId w:val="1011"/>
        </w:numPr>
        <w:pStyle w:val="Compact"/>
      </w:pPr>
      <w:r>
        <w:t xml:space="preserve">Road Freight (Europe for materials, and to port): 500 km * 0.001 tonne * 0.09 kgCO2e/tkm = 0.045 kgCO2e</w:t>
      </w:r>
    </w:p>
    <w:p>
      <w:pPr>
        <w:numPr>
          <w:ilvl w:val="1"/>
          <w:numId w:val="1011"/>
        </w:numPr>
        <w:pStyle w:val="Compact"/>
      </w:pPr>
      <w:r>
        <w:rPr>
          <w:bCs/>
          <w:b/>
        </w:rPr>
        <w:t xml:space="preserve">Subtotal Upstream Transport Emissions: 0.173 kgCO2e</w:t>
      </w:r>
    </w:p>
    <w:bookmarkEnd w:id="32"/>
    <w:bookmarkStart w:id="33" w:name="downstream-emissions"/>
    <w:p>
      <w:pPr>
        <w:pStyle w:val="Heading4"/>
      </w:pPr>
      <w:r>
        <w:t xml:space="preserve">4.3.2. Downstream Emissions</w:t>
      </w:r>
    </w:p>
    <w:p>
      <w:pPr>
        <w:numPr>
          <w:ilvl w:val="0"/>
          <w:numId w:val="1012"/>
        </w:numPr>
        <w:pStyle w:val="Compact"/>
      </w:pPr>
      <w:r>
        <w:rPr>
          <w:bCs/>
          <w:b/>
        </w:rPr>
        <w:t xml:space="preserve">Downstream Transportation &amp; Distribution (Category 4: Downstream Transportation and Distribution):</w:t>
      </w:r>
    </w:p>
    <w:p>
      <w:pPr>
        <w:numPr>
          <w:ilvl w:val="1"/>
          <w:numId w:val="1013"/>
        </w:numPr>
        <w:pStyle w:val="Compact"/>
      </w:pPr>
      <w:r>
        <w:t xml:space="preserve">Road Freight (from factory to distribution hub in China/destination market): 500 km * 0.001 tonne * 0.09 kgCO2e/tkm = 0.045 kgCO2e</w:t>
      </w:r>
    </w:p>
    <w:p>
      <w:pPr>
        <w:numPr>
          <w:ilvl w:val="1"/>
          <w:numId w:val="1013"/>
        </w:numPr>
        <w:pStyle w:val="Compact"/>
      </w:pPr>
      <w:r>
        <w:t xml:space="preserve">Last-Mile Delivery (Small Parcel Van): 1.0 kgCO2e/delivery (simplified per unit factor)</w:t>
      </w:r>
    </w:p>
    <w:p>
      <w:pPr>
        <w:numPr>
          <w:ilvl w:val="1"/>
          <w:numId w:val="1013"/>
        </w:numPr>
        <w:pStyle w:val="Compact"/>
      </w:pPr>
      <w:r>
        <w:rPr>
          <w:bCs/>
          <w:b/>
        </w:rPr>
        <w:t xml:space="preserve">Subtotal Downstream Transport Emissions: 1.045 kgCO2e</w:t>
      </w:r>
    </w:p>
    <w:p>
      <w:pPr>
        <w:numPr>
          <w:ilvl w:val="0"/>
          <w:numId w:val="1012"/>
        </w:numPr>
        <w:pStyle w:val="Compact"/>
      </w:pPr>
      <w:r>
        <w:rPr>
          <w:bCs/>
          <w:b/>
        </w:rPr>
        <w:t xml:space="preserve">Use Phase (Category 11: Use of Sold Products):</w:t>
      </w:r>
    </w:p>
    <w:p>
      <w:pPr>
        <w:numPr>
          <w:ilvl w:val="1"/>
          <w:numId w:val="1014"/>
        </w:numPr>
        <w:pStyle w:val="Compact"/>
      </w:pPr>
      <w:r>
        <w:t xml:space="preserve">Product Lifespan: 5 years</w:t>
      </w:r>
    </w:p>
    <w:p>
      <w:pPr>
        <w:numPr>
          <w:ilvl w:val="1"/>
          <w:numId w:val="1014"/>
        </w:numPr>
        <w:pStyle w:val="Compact"/>
      </w:pPr>
      <w:r>
        <w:t xml:space="preserve">Energy Consumption in Use: 100 kWh/year</w:t>
      </w:r>
    </w:p>
    <w:p>
      <w:pPr>
        <w:numPr>
          <w:ilvl w:val="1"/>
          <w:numId w:val="1014"/>
        </w:numPr>
        <w:pStyle w:val="Compact"/>
      </w:pPr>
      <w:r>
        <w:t xml:space="preserve">Total Use Phase Energy: 500 kWh</w:t>
      </w:r>
    </w:p>
    <w:p>
      <w:pPr>
        <w:numPr>
          <w:ilvl w:val="1"/>
          <w:numId w:val="1014"/>
        </w:numPr>
        <w:pStyle w:val="Compact"/>
      </w:pPr>
      <w:r>
        <w:t xml:space="preserve">Assumed Average Grid Emission Factor (User Location): 0.4 kgCO2e/kWh (Illustrative global average)</w:t>
      </w:r>
    </w:p>
    <w:p>
      <w:pPr>
        <w:numPr>
          <w:ilvl w:val="1"/>
          <w:numId w:val="1014"/>
        </w:numPr>
        <w:pStyle w:val="Compact"/>
      </w:pPr>
      <w:r>
        <w:rPr>
          <w:bCs/>
          <w:b/>
        </w:rPr>
        <w:t xml:space="preserve">Use Phase Emissions:</w:t>
      </w:r>
      <w:r>
        <w:t xml:space="preserve"> </w:t>
      </w:r>
      <w:r>
        <w:t xml:space="preserve">500 kWh * 0.4 kgCO2e/kWh =</w:t>
      </w:r>
      <w:r>
        <w:t xml:space="preserve"> </w:t>
      </w:r>
      <w:r>
        <w:rPr>
          <w:bCs/>
          <w:b/>
        </w:rPr>
        <w:t xml:space="preserve">200.00 kgCO2e</w:t>
      </w:r>
    </w:p>
    <w:p>
      <w:pPr>
        <w:numPr>
          <w:ilvl w:val="0"/>
          <w:numId w:val="1012"/>
        </w:numPr>
        <w:pStyle w:val="Compact"/>
      </w:pPr>
      <w:r>
        <w:rPr>
          <w:bCs/>
          <w:b/>
        </w:rPr>
        <w:t xml:space="preserve">End-of-Life Treatment (Category 12: End-of-Life Treatment of Sold Products):</w:t>
      </w:r>
    </w:p>
    <w:p>
      <w:pPr>
        <w:numPr>
          <w:ilvl w:val="1"/>
          <w:numId w:val="1015"/>
        </w:numPr>
        <w:pStyle w:val="Compact"/>
      </w:pPr>
      <w:r>
        <w:t xml:space="preserve">Recyclability Percentage: 80%</w:t>
      </w:r>
    </w:p>
    <w:p>
      <w:pPr>
        <w:numPr>
          <w:ilvl w:val="1"/>
          <w:numId w:val="1015"/>
        </w:numPr>
        <w:pStyle w:val="Compact"/>
      </w:pPr>
      <w:r>
        <w:t xml:space="preserve">Assumed avoided emissions (credit) for materials recycled: 80% of total material impact.</w:t>
      </w:r>
    </w:p>
    <w:p>
      <w:pPr>
        <w:numPr>
          <w:ilvl w:val="1"/>
          <w:numId w:val="1015"/>
        </w:numPr>
        <w:pStyle w:val="Compact"/>
      </w:pPr>
      <w:r>
        <w:t xml:space="preserve">Total Material Impact: 7.71 kgCO2e</w:t>
      </w:r>
    </w:p>
    <w:p>
      <w:pPr>
        <w:numPr>
          <w:ilvl w:val="1"/>
          <w:numId w:val="1015"/>
        </w:numPr>
        <w:pStyle w:val="Compact"/>
      </w:pPr>
      <w:r>
        <w:rPr>
          <w:bCs/>
          <w:b/>
        </w:rPr>
        <w:t xml:space="preserve">End-of-Life Emissions:</w:t>
      </w:r>
      <w:r>
        <w:t xml:space="preserve"> </w:t>
      </w:r>
      <w:r>
        <w:t xml:space="preserve">- (7.71 kgCO2e * 0.80) =</w:t>
      </w:r>
      <w:r>
        <w:t xml:space="preserve"> </w:t>
      </w:r>
      <w:r>
        <w:rPr>
          <w:bCs/>
          <w:b/>
        </w:rPr>
        <w:t xml:space="preserve">-6.17 kgCO2e</w:t>
      </w:r>
      <w:r>
        <w:t xml:space="preserve"> </w:t>
      </w:r>
      <w:r>
        <w:t xml:space="preserve">(credit)</w:t>
      </w:r>
    </w:p>
    <w:bookmarkEnd w:id="33"/>
    <w:bookmarkEnd w:id="34"/>
    <w:bookmarkStart w:id="35" w:name="total-emissions-by-scope"/>
    <w:p>
      <w:pPr>
        <w:pStyle w:val="Heading3"/>
      </w:pPr>
      <w:r>
        <w:t xml:space="preserve">Total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2.70</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7.71</w:t>
            </w:r>
          </w:p>
        </w:tc>
      </w:tr>
      <w:tr>
        <w:tc>
          <w:tcPr/>
          <w:p>
            <w:pPr>
              <w:pStyle w:val="Compact"/>
            </w:pPr>
          </w:p>
        </w:tc>
        <w:tc>
          <w:tcPr/>
          <w:p>
            <w:pPr>
              <w:pStyle w:val="Compact"/>
              <w:jc w:val="left"/>
            </w:pPr>
            <w:r>
              <w:t xml:space="preserve">Upstream Transportation &amp; Distribution</w:t>
            </w:r>
          </w:p>
        </w:tc>
        <w:tc>
          <w:tcPr/>
          <w:p>
            <w:pPr>
              <w:pStyle w:val="Compact"/>
              <w:jc w:val="left"/>
            </w:pPr>
            <w:r>
              <w:t xml:space="preserve">0.173</w:t>
            </w:r>
          </w:p>
        </w:tc>
      </w:tr>
      <w:tr>
        <w:tc>
          <w:tcPr/>
          <w:p>
            <w:pPr>
              <w:pStyle w:val="Compact"/>
            </w:pPr>
          </w:p>
        </w:tc>
        <w:tc>
          <w:tcPr/>
          <w:p>
            <w:pPr>
              <w:pStyle w:val="Compact"/>
              <w:jc w:val="left"/>
            </w:pPr>
            <w:r>
              <w:t xml:space="preserve">Downstream Transportation &amp; Distribution</w:t>
            </w:r>
          </w:p>
        </w:tc>
        <w:tc>
          <w:tcPr/>
          <w:p>
            <w:pPr>
              <w:pStyle w:val="Compact"/>
              <w:jc w:val="left"/>
            </w:pPr>
            <w:r>
              <w:t xml:space="preserve">1.045</w:t>
            </w:r>
          </w:p>
        </w:tc>
      </w:tr>
      <w:tr>
        <w:tc>
          <w:tcPr/>
          <w:p>
            <w:pPr>
              <w:pStyle w:val="Compact"/>
            </w:pPr>
          </w:p>
        </w:tc>
        <w:tc>
          <w:tcPr/>
          <w:p>
            <w:pPr>
              <w:pStyle w:val="Compact"/>
              <w:jc w:val="left"/>
            </w:pPr>
            <w:r>
              <w:t xml:space="preserve">Use of Sold Products</w:t>
            </w:r>
          </w:p>
        </w:tc>
        <w:tc>
          <w:tcPr/>
          <w:p>
            <w:pPr>
              <w:pStyle w:val="Compact"/>
              <w:jc w:val="left"/>
            </w:pPr>
            <w:r>
              <w:t xml:space="preserve">200.00</w:t>
            </w:r>
          </w:p>
        </w:tc>
      </w:tr>
      <w:tr>
        <w:tc>
          <w:tcPr/>
          <w:p>
            <w:pPr>
              <w:pStyle w:val="Compact"/>
            </w:pPr>
          </w:p>
        </w:tc>
        <w:tc>
          <w:tcPr/>
          <w:p>
            <w:pPr>
              <w:pStyle w:val="Compact"/>
              <w:jc w:val="left"/>
            </w:pPr>
            <w:r>
              <w:t xml:space="preserve">End-of-Life Treatment of Sold Products</w:t>
            </w:r>
          </w:p>
        </w:tc>
        <w:tc>
          <w:tcPr/>
          <w:p>
            <w:pPr>
              <w:pStyle w:val="Compact"/>
              <w:jc w:val="left"/>
            </w:pPr>
            <w:r>
              <w:t xml:space="preserve">-6.17</w:t>
            </w:r>
          </w:p>
        </w:tc>
      </w:tr>
      <w:tr>
        <w:tc>
          <w:tcPr>
            <w:gridSpan w:val="2"/>
          </w:tcPr>
          <w:p>
            <w:pPr>
              <w:pStyle w:val="Compact"/>
              <w:jc w:val="right"/>
            </w:pPr>
            <w:r>
              <w:t xml:space="preserve">Total Scope 3 Emissions:</w:t>
            </w:r>
          </w:p>
        </w:tc>
        <w:tc>
          <w:tcPr/>
          <w:p>
            <w:pPr>
              <w:pStyle w:val="Compact"/>
              <w:jc w:val="left"/>
            </w:pPr>
            <w:r>
              <w:t xml:space="preserve">202.76</w:t>
            </w:r>
          </w:p>
        </w:tc>
      </w:tr>
      <w:tr>
        <w:tc>
          <w:tcPr>
            <w:gridSpan w:val="2"/>
          </w:tcPr>
          <w:p>
            <w:pPr>
              <w:pStyle w:val="Compact"/>
              <w:jc w:val="right"/>
            </w:pPr>
            <w:r>
              <w:t xml:space="preserve">Total Product Carbon Footprint (Cradle-to-Grave):</w:t>
            </w:r>
          </w:p>
        </w:tc>
        <w:tc>
          <w:tcPr/>
          <w:p>
            <w:pPr>
              <w:pStyle w:val="Compact"/>
              <w:jc w:val="left"/>
            </w:pPr>
            <w:r>
              <w:t xml:space="preserve">205.46</w:t>
            </w:r>
          </w:p>
        </w:tc>
      </w:tr>
    </w:tbl>
    <w:bookmarkEnd w:id="35"/>
    <w:bookmarkStart w:id="36" w:name="land-sector-and-removals-lsr-update"/>
    <w:p>
      <w:pPr>
        <w:pStyle w:val="Heading3"/>
      </w:pPr>
      <w:r>
        <w:t xml:space="preserve">4.4. 2026 Land Sector and Removals (LSR) Update</w:t>
      </w:r>
    </w:p>
    <w:p>
      <w:pPr>
        <w:pStyle w:val="FirstParagraph"/>
      </w:pPr>
      <w:r>
        <w:t xml:space="preserve">In accordance with the 2026 GHG Protocol Land Sector and Removals (LSR) Standard, which was released on January 30, 2026, and takes effect January 1, 2027, this analysis considers the potential for land use change emissions and carbon removals. The LSR Standard provides requirements and guidance for quantifying, reporting, and tracking land emissions, CO₂ removals, and other key metrics, applicable to activities such as agriculture, land management, and CO2 removal technologies. For a manufactured product like vorlfvwxtv and within the "factory_gate" system boundary focusing on material and energy inputs, direct land sector emissions (e.g., from deforestation for raw material cultivation) or removals (e.g., through bioenergy with carbon capture) are generally not a primary driver unless specific bio-based materials with known land-use impacts are involved. Given the illustrative nature of the BOM which mainly covers metals, plastics, and electronics, significant direct LSR impacts are not identified for this product. However, should the supply chain incorporate materials like timber or agricultural products, a more detailed assessment of land-use change and potential carbon removals would be imperative.</w:t>
      </w:r>
    </w:p>
    <w:bookmarkEnd w:id="36"/>
    <w:bookmarkStart w:id="37" w:name="scope-3-compliance"/>
    <w:p>
      <w:pPr>
        <w:pStyle w:val="Heading3"/>
      </w:pPr>
      <w:r>
        <w:t xml:space="preserve">4.5. Scope 3 Compliance</w:t>
      </w:r>
    </w:p>
    <w:p>
      <w:pPr>
        <w:pStyle w:val="FirstParagraph"/>
      </w:pPr>
      <w:r>
        <w:t xml:space="preserve">This analysis achieves robust Scope 3 reporting, covering all relevant categories identified for vorlfvwxtv\'s lifecycle. The calculated Scope 3 emissions represent 98.68% of the total cradle-to-grave footprint (202.76 kgCO2e out of 205.46 kgCO2e). This significantly exceeds the 2026 GHG Protocol proposed requirement of at least 95% coverage for total required Scope 3 emissions, ensuring a comprehensive understanding of the product\'s value chain emissions.</w:t>
      </w:r>
    </w:p>
    <w:p>
      <w:r>
        <w:pict>
          <v:rect style="width:0;height:1.5pt" o:hralign="center" o:hrstd="t" o:hr="t"/>
        </w:pict>
      </w:r>
    </w:p>
    <w:bookmarkEnd w:id="37"/>
    <w:bookmarkEnd w:id="38"/>
    <w:bookmarkStart w:id="41" w:name="review-report"/>
    <w:p>
      <w:pPr>
        <w:pStyle w:val="Heading2"/>
      </w:pPr>
      <w:r>
        <w:t xml:space="preserve">5. Review &amp; Report</w:t>
      </w:r>
    </w:p>
    <w:p>
      <w:pPr>
        <w:pStyle w:val="FirstParagraph"/>
      </w:pPr>
      <w:r>
        <w:t xml:space="preserve">The Product Carbon Footprint for vorlfvwxtv is estimated at</w:t>
      </w:r>
      <w:r>
        <w:t xml:space="preserve"> </w:t>
      </w:r>
      <w:r>
        <w:rPr>
          <w:bCs/>
          <w:b/>
        </w:rPr>
        <w:t xml:space="preserve">205.46 kgCO2e per functional unit</w:t>
      </w:r>
      <w:r>
        <w:t xml:space="preserve">, adopting a cradle-to-grave approach and adhering to the GHG Protocol.</w:t>
      </w:r>
    </w:p>
    <w:bookmarkStart w:id="39" w:name="emission-hotspots"/>
    <w:p>
      <w:pPr>
        <w:pStyle w:val="Heading3"/>
      </w:pPr>
      <w:r>
        <w:t xml:space="preserve">5.1. Emission Hotspots</w:t>
      </w:r>
    </w:p>
    <w:p>
      <w:pPr>
        <w:pStyle w:val="FirstParagraph"/>
      </w:pPr>
      <w:r>
        <w:t xml:space="preserve">The analysis reveals the following key emission hotspots:</w:t>
      </w:r>
    </w:p>
    <w:p>
      <w:pPr>
        <w:numPr>
          <w:ilvl w:val="0"/>
          <w:numId w:val="1016"/>
        </w:numPr>
        <w:pStyle w:val="Compact"/>
      </w:pPr>
      <w:r>
        <w:rPr>
          <w:bCs/>
          <w:b/>
        </w:rPr>
        <w:t xml:space="preserve">Use Phase (Approx. 97.3% of total footprint):</w:t>
      </w:r>
      <w:r>
        <w:t xml:space="preserve"> </w:t>
      </w:r>
      <w:r>
        <w:t xml:space="preserve">The dominant contributor to the PCF is the energy consumption during the product\'s 5-year operational lifespan. This highlights the critical need for energy efficiency improvements in the product\'s design and operation, or promoting the use of renewable energy by end-users.</w:t>
      </w:r>
    </w:p>
    <w:p>
      <w:pPr>
        <w:numPr>
          <w:ilvl w:val="0"/>
          <w:numId w:val="1016"/>
        </w:numPr>
        <w:pStyle w:val="Compact"/>
      </w:pPr>
      <w:r>
        <w:rPr>
          <w:bCs/>
          <w:b/>
        </w:rPr>
        <w:t xml:space="preserve">Materials (Approx. 3.75% of total footprint before EoL credit):</w:t>
      </w:r>
      <w:r>
        <w:t xml:space="preserve"> </w:t>
      </w:r>
      <w:r>
        <w:t xml:space="preserve">Upstream material production, particularly aluminum and electronic components, represents a notable portion of emissions. Strategies should focus on sourcing low-carbon materials, utilizing recycled content, and optimizing material efficiency.</w:t>
      </w:r>
    </w:p>
    <w:p>
      <w:pPr>
        <w:numPr>
          <w:ilvl w:val="0"/>
          <w:numId w:val="1016"/>
        </w:numPr>
        <w:pStyle w:val="Compact"/>
      </w:pPr>
      <w:r>
        <w:rPr>
          <w:bCs/>
          <w:b/>
        </w:rPr>
        <w:t xml:space="preserve">Production (Approx. 1.3% of total footprint):</w:t>
      </w:r>
      <w:r>
        <w:t xml:space="preserve"> </w:t>
      </w:r>
      <w:r>
        <w:t xml:space="preserve">Emissions from the manufacturing process are primarily driven by electricity consumption. The company\'s 70% renewable energy usage significantly mitigates this impact, but further increasing renewable energy adoption or improving energy efficiency in production processes can yield additional reductions.</w:t>
      </w:r>
    </w:p>
    <w:p>
      <w:pPr>
        <w:numPr>
          <w:ilvl w:val="0"/>
          <w:numId w:val="1016"/>
        </w:numPr>
        <w:pStyle w:val="Compact"/>
      </w:pPr>
      <w:r>
        <w:rPr>
          <w:bCs/>
          <w:b/>
        </w:rPr>
        <w:t xml:space="preserve">Transportation (Approx. 0.6% of total footprint):</w:t>
      </w:r>
      <w:r>
        <w:t xml:space="preserve"> </w:t>
      </w:r>
      <w:r>
        <w:t xml:space="preserve">While contributing less than the use phase, both upstream and downstream logistics have an impact. Optimizing transport routes, utilizing more efficient modes, and exploring low-carbon fuels for freight can reduce these emissions.</w:t>
      </w:r>
    </w:p>
    <w:p>
      <w:pPr>
        <w:numPr>
          <w:ilvl w:val="0"/>
          <w:numId w:val="1016"/>
        </w:numPr>
        <w:pStyle w:val="Compact"/>
      </w:pPr>
      <w:r>
        <w:rPr>
          <w:bCs/>
          <w:b/>
        </w:rPr>
        <w:t xml:space="preserve">End-of-Life (Credit):</w:t>
      </w:r>
      <w:r>
        <w:t xml:space="preserve"> </w:t>
      </w:r>
      <w:r>
        <w:t xml:space="preserve">The high recyclability percentage and the presence of a take-back program provide a significant credit, reducing the overall footprint. Enhancing circular economy initiatives will further increase these benefits.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adherence to the GHG Protocol and a comprehensive scope. However, certain limitations inherent to the use of illustrative parameters must be acknowledged:</w:t>
      </w:r>
    </w:p>
    <w:p>
      <w:pPr>
        <w:numPr>
          <w:ilvl w:val="0"/>
          <w:numId w:val="1017"/>
        </w:numPr>
        <w:pStyle w:val="Compact"/>
      </w:pPr>
      <w:r>
        <w:rPr>
          <w:bCs/>
          <w:b/>
        </w:rPr>
        <w:t xml:space="preserve">Illustrative Data:</w:t>
      </w:r>
      <w:r>
        <w:t xml:space="preserve"> </w:t>
      </w:r>
      <w:r>
        <w:t xml:space="preserve">Where specific numerical values for BOM details, transport modes/distances, energy parameters, and EoL scenarios were provided as string placeholders (e.g., oexknevh, fxqjfsylnz), industry-average emission factors and estimated values were used. Actual, company-specific primary data for these parameters would significantly enhance the accuracy and precision of the results.</w:t>
      </w:r>
    </w:p>
    <w:p>
      <w:pPr>
        <w:numPr>
          <w:ilvl w:val="0"/>
          <w:numId w:val="1017"/>
        </w:numPr>
        <w:pStyle w:val="Compact"/>
      </w:pPr>
      <w:r>
        <w:rPr>
          <w:bCs/>
          <w:b/>
        </w:rPr>
        <w:t xml:space="preserve">Emission Factor Selection:</w:t>
      </w:r>
      <w:r>
        <w:t xml:space="preserve"> </w:t>
      </w:r>
      <w:r>
        <w:t xml:space="preserve">While industry-standard emission factors (e.g., from Ecoinvent/DEFRA equivalents) have been used, regional variations and supplier-specific factors can influence accuracy.</w:t>
      </w:r>
    </w:p>
    <w:p>
      <w:pPr>
        <w:numPr>
          <w:ilvl w:val="0"/>
          <w:numId w:val="1017"/>
        </w:numPr>
        <w:pStyle w:val="Compact"/>
      </w:pPr>
      <w:r>
        <w:rPr>
          <w:bCs/>
          <w:b/>
        </w:rPr>
        <w:t xml:space="preserve">Dynamic Energy Mixes:</w:t>
      </w:r>
      <w:r>
        <w:t xml:space="preserve"> </w:t>
      </w:r>
      <w:r>
        <w:t xml:space="preserve">Grid emission factors are dynamic and vary by region and over time. The factors used are general estimates.</w:t>
      </w:r>
    </w:p>
    <w:p>
      <w:pPr>
        <w:pStyle w:val="FirstParagraph"/>
      </w:pPr>
      <w:r>
        <w:t xml:space="preserve">To improve the accuracy of future assessments, it is recommended that kefoydwlpt collect more granular, primary data for its Bill of Materials, actual transport logs, and specific energy consumption at its facilities and for the end-user profile.</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vorlfvwxtv</dc:title>
  <dc:creator/>
  <dc:description>Detailed Product Carbon Footprint (PCF) analysis for vorlfvwxtv, performed by tdiiyjlzlg for kefoydwlpt, adhering to GHG Protocol standards and 2026 LSR updates.</dc:description>
  <cp:keywords/>
  <dcterms:created xsi:type="dcterms:W3CDTF">2026-07-15T05:46:03Z</dcterms:created>
  <dcterms:modified xsi:type="dcterms:W3CDTF">2026-07-15T05:46:03Z</dcterms:modified>
</cp:coreProperties>
</file>

<file path=docProps/custom.xml><?xml version="1.0" encoding="utf-8"?>
<Properties xmlns="http://schemas.openxmlformats.org/officeDocument/2006/custom-properties" xmlns:vt="http://schemas.openxmlformats.org/officeDocument/2006/docPropsVTypes"/>
</file>