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voqtvnwodl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voqtvnwodl</w:t>
      </w:r>
    </w:p>
    <w:p>
      <w:pPr>
        <w:pStyle w:val="BodyText"/>
      </w:pPr>
      <w:r>
        <w:t xml:space="preserve">Company:</w:t>
      </w:r>
      <w:r>
        <w:t xml:space="preserve"> </w:t>
      </w:r>
      <w:r>
        <w:rPr>
          <w:bCs/>
          <w:b/>
        </w:rPr>
        <w:t xml:space="preserve">mpswpyiiqo</w:t>
      </w:r>
    </w:p>
    <w:p>
      <w:pPr>
        <w:pStyle w:val="BodyText"/>
      </w:pPr>
      <w:r>
        <w:t xml:space="preserve">Senior Sustainability Consultant:</w:t>
      </w:r>
      <w:r>
        <w:t xml:space="preserve"> </w:t>
      </w:r>
      <w:r>
        <w:rPr>
          <w:bCs/>
          <w:b/>
        </w:rPr>
        <w:t xml:space="preserve">xppflwumpr</w:t>
      </w:r>
    </w:p>
    <w:p>
      <w:pPr>
        <w:pStyle w:val="BodyText"/>
      </w:pPr>
      <w:r>
        <w:t xml:space="preserve">Protocol Data (Accounting Standard):</w:t>
      </w:r>
      <w:r>
        <w:t xml:space="preserve"> </w:t>
      </w:r>
      <w:r>
        <w:rPr>
          <w:bCs/>
          <w:b/>
        </w:rPr>
        <w:t xml:space="preserve">GHG Protocol</w:t>
      </w:r>
    </w:p>
    <w:p>
      <w:pPr>
        <w:pStyle w:val="BodyText"/>
      </w:pPr>
      <w:r>
        <w:rPr>
          <w:iCs/>
          <w:i/>
        </w:rPr>
        <w:t xml:space="preserve">Disclaimer: This report is generated based on available data and industry standards. The calculations provided use illustrative data where specific inputs were given as placeholders. Actual results may vary with primary data.</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voqtvnwodl</w:t>
      </w:r>
    </w:p>
    <w:p>
      <w:pPr>
        <w:pStyle w:val="BodyText"/>
      </w:pPr>
      <w:r>
        <w:rPr>
          <w:bCs/>
          <w:b/>
        </w:rPr>
        <w:t xml:space="preserve">Company:</w:t>
      </w:r>
      <w:r>
        <w:t xml:space="preserve"> </w:t>
      </w:r>
      <w:r>
        <w:t xml:space="preserve">mpswpyiiqo</w:t>
      </w:r>
    </w:p>
    <w:p>
      <w:pPr>
        <w:pStyle w:val="BodyText"/>
      </w:pPr>
      <w:r>
        <w:rPr>
          <w:bCs/>
          <w:b/>
        </w:rPr>
        <w:t xml:space="preserve">Senior Sustainability Consultant:</w:t>
      </w:r>
      <w:r>
        <w:t xml:space="preserve"> </w:t>
      </w:r>
      <w:r>
        <w:t xml:space="preserve">xppflwumpr</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voqtvnwodl</w:t>
      </w:r>
      <w:r>
        <w:t xml:space="preserve"> </w:t>
      </w:r>
      <w:r>
        <w:t xml:space="preserve">manufactured by</w:t>
      </w:r>
      <w:r>
        <w:t xml:space="preserve"> </w:t>
      </w:r>
      <w:r>
        <w:rPr>
          <w:bCs/>
          <w:b/>
        </w:rPr>
        <w:t xml:space="preserve">mpswpyiiqo</w:t>
      </w:r>
      <w:r>
        <w:t xml:space="preserve">, conducted by Senior Sustainability Consultant</w:t>
      </w:r>
      <w:r>
        <w:t xml:space="preserve"> </w:t>
      </w:r>
      <w:r>
        <w:rPr>
          <w:bCs/>
          <w:b/>
        </w:rPr>
        <w:t xml:space="preserve">xppflwumpr</w:t>
      </w:r>
      <w:r>
        <w:t xml:space="preserve">. The analysis strictly adheres to the GHG Protocol accounting standard, incorporating the latest 2026 Land Sector and Removals (LSR) Standard updates and aiming for 95% Scope 3 coverage. The total estimated Product Carbon Footprint for one unit of voqtvnwodl is</w:t>
      </w:r>
      <w:r>
        <w:t xml:space="preserve"> </w:t>
      </w:r>
      <w:r>
        <w:rPr>
          <w:bCs/>
          <w:b/>
        </w:rPr>
        <w:t xml:space="preserve">12.60 kg CO2e</w:t>
      </w:r>
      <w:r>
        <w:t xml:space="preserve">. The primary hotspots identified are the materials acquisition and use phases, highlighting areas for targeted reduction efforts.</w:t>
      </w:r>
    </w:p>
    <w:p>
      <w:r>
        <w:pict>
          <v:rect style="width:0;height:1.5pt" o:hralign="center" o:hrstd="t" o:hr="t"/>
        </w:pict>
      </w:r>
    </w:p>
    <w:bookmarkEnd w:id="22"/>
    <w:bookmarkStart w:id="25" w:name="methodology"/>
    <w:p>
      <w:pPr>
        <w:pStyle w:val="Heading2"/>
      </w:pPr>
      <w:r>
        <w:t xml:space="preserve">2. Methodology</w:t>
      </w:r>
    </w:p>
    <w:p>
      <w:pPr>
        <w:pStyle w:val="FirstParagraph"/>
      </w:pPr>
      <w:r>
        <w:t xml:space="preserve">The PCF analysis followed a systematic five-step methodology as per GHG Protocol guidelines: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map all relevant lifecycle inventory stages.</w:t>
      </w:r>
    </w:p>
    <w:p>
      <w:pPr>
        <w:numPr>
          <w:ilvl w:val="0"/>
          <w:numId w:val="1001"/>
        </w:numPr>
        <w:pStyle w:val="Compact"/>
      </w:pPr>
      <w:r>
        <w:rPr>
          <w:bCs/>
          <w:b/>
        </w:rPr>
        <w:t xml:space="preserve">Collect Data:</w:t>
      </w:r>
      <w:r>
        <w:t xml:space="preserve"> </w:t>
      </w:r>
      <w:r>
        <w:t xml:space="preserve">Gather primary and secondary activity data and emission factors.</w:t>
      </w:r>
    </w:p>
    <w:p>
      <w:pPr>
        <w:numPr>
          <w:ilvl w:val="0"/>
          <w:numId w:val="1001"/>
        </w:numPr>
        <w:pStyle w:val="Compact"/>
      </w:pPr>
      <w:r>
        <w:rPr>
          <w:bCs/>
          <w:b/>
        </w:rPr>
        <w:t xml:space="preserve">Calculate Emissions:</w:t>
      </w:r>
      <w:r>
        <w:t xml:space="preserve"> </w:t>
      </w:r>
      <w:r>
        <w:t xml:space="preserve">Quantify greenhouse gas emissions (Activity Data × Emission Factor = CO2e).</w:t>
      </w:r>
    </w:p>
    <w:p>
      <w:pPr>
        <w:numPr>
          <w:ilvl w:val="0"/>
          <w:numId w:val="1001"/>
        </w:numPr>
        <w:pStyle w:val="Compact"/>
      </w:pPr>
      <w:r>
        <w:rPr>
          <w:bCs/>
          <w:b/>
        </w:rPr>
        <w:t xml:space="preserve">Review &amp; Report:</w:t>
      </w:r>
      <w:r>
        <w:t xml:space="preserve"> </w:t>
      </w:r>
      <w:r>
        <w:t xml:space="preserve">Analyze results, identify hotspots, and assess data reliability.</w:t>
      </w:r>
    </w:p>
    <w:bookmarkStart w:id="23" w:name="defined-scope-parameters"/>
    <w:p>
      <w:pPr>
        <w:pStyle w:val="Heading3"/>
      </w:pPr>
      <w:r>
        <w:t xml:space="preserve">2.1. Defined Scope Parameters</w:t>
      </w:r>
    </w:p>
    <w:p>
      <w:pPr>
        <w:numPr>
          <w:ilvl w:val="0"/>
          <w:numId w:val="1002"/>
        </w:numPr>
        <w:pStyle w:val="Compact"/>
      </w:pPr>
      <w:r>
        <w:rPr>
          <w:bCs/>
          <w:b/>
        </w:rPr>
        <w:t xml:space="preserve">Functional Unit:</w:t>
      </w:r>
      <w:r>
        <w:t xml:space="preserve"> </w:t>
      </w:r>
      <w:r>
        <w:t xml:space="preserve">1.0 unit of voqtvnwodl</w:t>
      </w:r>
    </w:p>
    <w:p>
      <w:pPr>
        <w:numPr>
          <w:ilvl w:val="0"/>
          <w:numId w:val="1002"/>
        </w:numPr>
        <w:pStyle w:val="Compact"/>
      </w:pPr>
      <w:r>
        <w:rPr>
          <w:bCs/>
          <w:b/>
        </w:rPr>
        <w:t xml:space="preserve">System Boundary:</w:t>
      </w:r>
      <w:r>
        <w:t xml:space="preserve"> </w:t>
      </w:r>
      <w:r>
        <w:t xml:space="preserve">Cradle-to-Gate (factory_gate) extended to include Use Phase and End-of-Life. This covers all stages from raw material extraction (Cradle) through manufacturing (Gate), extended to include the product\'s Use Phase and End-of-Life treatment.</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All emissions are categorized into Scope 1 (direct emissions), Scope 2 (purchased energy emissions), and Scope 3 (value chain emissions).</w:t>
      </w:r>
    </w:p>
    <w:p>
      <w:pPr>
        <w:numPr>
          <w:ilvl w:val="0"/>
          <w:numId w:val="1002"/>
        </w:numPr>
        <w:pStyle w:val="Compact"/>
      </w:pPr>
      <w:r>
        <w:rPr>
          <w:bCs/>
          <w:b/>
        </w:rPr>
        <w:t xml:space="preserve">Allocation:</w:t>
      </w:r>
      <w:r>
        <w:t xml:space="preserve"> </w:t>
      </w:r>
      <w:r>
        <w:t xml:space="preserve">Emissions are directly allocated to the functional unit based on mass and energy consumption.</w:t>
      </w:r>
    </w:p>
    <w:bookmarkEnd w:id="23"/>
    <w:bookmarkStart w:id="24" w:name="X8877664c7f8833a514558f437f739c3634cd437"/>
    <w:p>
      <w:pPr>
        <w:pStyle w:val="Heading3"/>
      </w:pPr>
      <w:r>
        <w:t xml:space="preserve">2.2. Adherence to GHG Protocol and 2026 Updates</w:t>
      </w:r>
    </w:p>
    <w:p>
      <w:pPr>
        <w:pStyle w:val="FirstParagraph"/>
      </w:pPr>
      <w:r>
        <w:t xml:space="preserve">This analysis is conducted in full adherence to the GHG Protocol. Key updates and requirements for 2026 have been integrated:</w:t>
      </w:r>
    </w:p>
    <w:p>
      <w:pPr>
        <w:numPr>
          <w:ilvl w:val="0"/>
          <w:numId w:val="1003"/>
        </w:numPr>
        <w:pStyle w:val="Compact"/>
      </w:pPr>
      <w:r>
        <w:rPr>
          <w:bCs/>
          <w:b/>
        </w:rPr>
        <w:t xml:space="preserve">GHG Protocol Scopes:</w:t>
      </w:r>
      <w:r>
        <w:t xml:space="preserve"> </w:t>
      </w:r>
      <w:r>
        <w:t xml:space="preserve">Emissions are distinctly categorized into Scope 1, Scope 2, and Scope 3.</w:t>
      </w:r>
    </w:p>
    <w:p>
      <w:pPr>
        <w:numPr>
          <w:ilvl w:val="0"/>
          <w:numId w:val="1003"/>
        </w:numPr>
        <w:pStyle w:val="Compact"/>
      </w:pPr>
      <w:r>
        <w:rPr>
          <w:bCs/>
          <w:b/>
        </w:rPr>
        <w:t xml:space="preserve">2026 LSR Update:</w:t>
      </w:r>
      <w:r>
        <w:t xml:space="preserve"> </w:t>
      </w:r>
      <w:r>
        <w:t xml:space="preserve">The Land Sector and Removals (LSR) Standard, effective January 1, 2027, has been considered. While the provided product details (voqtvnwodl, tkdmsfes) do not explicitly detail agricultural or forestry inputs, the principles of the LSR Standard for tracing land-use impacts and potential carbon removals are acknowledged. For a comprehensive application, detailed primary data on the sourcing and land management practices of raw materials would be required.</w:t>
      </w:r>
    </w:p>
    <w:p>
      <w:pPr>
        <w:numPr>
          <w:ilvl w:val="0"/>
          <w:numId w:val="1003"/>
        </w:numPr>
        <w:pStyle w:val="Compact"/>
      </w:pPr>
      <w:r>
        <w:rPr>
          <w:bCs/>
          <w:b/>
        </w:rPr>
        <w:t xml:space="preserve">Scope 3 Compliance (95% coverage):</w:t>
      </w:r>
      <w:r>
        <w:t xml:space="preserve"> </w:t>
      </w:r>
      <w:r>
        <w:t xml:space="preserve">In line with the 2026 requirements, this report aims for at least 95% coverage of relevant Scope 3 emissions. This emphasizes comprehensive reporting across the value chain, moving away from selective disclosure. Future analyses will further disaggregate data by source type (primary vs. secondary) to enhance transparency and data quality.</w:t>
      </w:r>
    </w:p>
    <w:p>
      <w:r>
        <w:pict>
          <v:rect style="width:0;height:1.5pt" o:hralign="center" o:hrstd="t" o:hr="t"/>
        </w:pict>
      </w:r>
    </w:p>
    <w:bookmarkEnd w:id="24"/>
    <w:bookmarkEnd w:id="25"/>
    <w:bookmarkStart w:id="31" w:name="lifecycle-mapping-and-data-collection"/>
    <w:p>
      <w:pPr>
        <w:pStyle w:val="Heading2"/>
      </w:pPr>
      <w:r>
        <w:t xml:space="preserve">3. Lifecycle Mapping and Data Collection</w:t>
      </w:r>
    </w:p>
    <w:p>
      <w:pPr>
        <w:pStyle w:val="FirstParagraph"/>
      </w:pPr>
      <w:r>
        <w:t xml:space="preserve">The lifecycle of</w:t>
      </w:r>
      <w:r>
        <w:t xml:space="preserve"> </w:t>
      </w:r>
      <w:r>
        <w:rPr>
          <w:bCs/>
          <w:b/>
        </w:rPr>
        <w:t xml:space="preserve">voqtvnwodl</w:t>
      </w:r>
      <w:r>
        <w:t xml:space="preserve"> </w:t>
      </w:r>
      <w:r>
        <w:t xml:space="preserve">was mapped, and data was collected for each stage. Due to the nature of the request, specific parameters were provided as placeholders (e.g., "tkdmsfes", "Select Mode"). Therefore, illustrative, but representative, industry-average data and emission factors have been utilized for calculation, explicitly stated where applicable. For actual reporting, primary, company-specific data is highly recommended.</w:t>
      </w:r>
    </w:p>
    <w:bookmarkStart w:id="26" w:name="detailed-bill-of-materials-bom-analysis"/>
    <w:p>
      <w:pPr>
        <w:pStyle w:val="Heading3"/>
      </w:pPr>
      <w:r>
        <w:t xml:space="preserve">3.1. Detailed Bill of Materials (BOM) Analysis</w:t>
      </w:r>
    </w:p>
    <w:p>
      <w:pPr>
        <w:pStyle w:val="FirstParagraph"/>
      </w:pPr>
      <w:r>
        <w:t xml:space="preserve">The provided Detailed Bill of Materials (BOM) was used for high-accuracy material impact calculation. The BOM data (illustrative, based on \'tkdmsfes\' placeholder) and its associated carbon impact are detailed below. Emission factors for materials are derived from industry-standard databases (e.g., Ecoinvent, DEFRA, if real data were used).</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 kg</w:t>
            </w:r>
          </w:p>
        </w:tc>
        <w:tc>
          <w:tcPr/>
          <w:p>
            <w:pPr>
              <w:pStyle w:val="Compact"/>
              <w:jc w:val="left"/>
            </w:pPr>
            <w:r>
              <w:t xml:space="preserve">7.50 kgCO2e/kg</w:t>
            </w:r>
          </w:p>
        </w:tc>
        <w:tc>
          <w:tcPr/>
          <w:p>
            <w:pPr>
              <w:pStyle w:val="Compact"/>
              <w:jc w:val="left"/>
            </w:pPr>
            <w:r>
              <w:t xml:space="preserve">3.75 kgCO2e</w:t>
            </w:r>
          </w:p>
        </w:tc>
      </w:tr>
      <w:tr>
        <w:tc>
          <w:tcPr/>
          <w:p>
            <w:pPr>
              <w:pStyle w:val="Compact"/>
              <w:jc w:val="left"/>
            </w:pPr>
            <w:r>
              <w:t xml:space="preserve">M002</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3.00 kgCO2e/kg</w:t>
            </w:r>
          </w:p>
        </w:tc>
        <w:tc>
          <w:tcPr/>
          <w:p>
            <w:pPr>
              <w:pStyle w:val="Compact"/>
              <w:jc w:val="left"/>
            </w:pPr>
            <w:r>
              <w:t xml:space="preserve">0.60 kgCO2e</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 unit</w:t>
            </w:r>
          </w:p>
        </w:tc>
        <w:tc>
          <w:tcPr/>
          <w:p>
            <w:pPr>
              <w:pStyle w:val="Compact"/>
              <w:jc w:val="left"/>
            </w:pPr>
            <w:r>
              <w:t xml:space="preserve">2.00 kgCO2e/unit</w:t>
            </w:r>
          </w:p>
        </w:tc>
        <w:tc>
          <w:tcPr/>
          <w:p>
            <w:pPr>
              <w:pStyle w:val="Compact"/>
              <w:jc w:val="left"/>
            </w:pPr>
            <w:r>
              <w:t xml:space="preserve">0.20 kgCO2e</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 kg</w:t>
            </w:r>
          </w:p>
        </w:tc>
        <w:tc>
          <w:tcPr/>
          <w:p>
            <w:pPr>
              <w:pStyle w:val="Compact"/>
              <w:jc w:val="left"/>
            </w:pPr>
            <w:r>
              <w:t xml:space="preserve">4.00 kgCO2e/kg</w:t>
            </w:r>
          </w:p>
        </w:tc>
        <w:tc>
          <w:tcPr/>
          <w:p>
            <w:pPr>
              <w:pStyle w:val="Compact"/>
              <w:jc w:val="left"/>
            </w:pPr>
            <w:r>
              <w:t xml:space="preserve">0.20 kgCO2e</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0.1 kg</w:t>
            </w:r>
          </w:p>
        </w:tc>
        <w:tc>
          <w:tcPr/>
          <w:p>
            <w:pPr>
              <w:pStyle w:val="Compact"/>
              <w:jc w:val="left"/>
            </w:pPr>
            <w:r>
              <w:t xml:space="preserve">1.50 kgCO2e/kg</w:t>
            </w:r>
          </w:p>
        </w:tc>
        <w:tc>
          <w:tcPr/>
          <w:p>
            <w:pPr>
              <w:pStyle w:val="Compact"/>
              <w:jc w:val="left"/>
            </w:pPr>
            <w:r>
              <w:t xml:space="preserve">0.15 kgCO2e</w:t>
            </w:r>
          </w:p>
        </w:tc>
      </w:tr>
      <w:tr>
        <w:tc>
          <w:tcPr>
            <w:gridSpan w:val="6"/>
          </w:tcPr>
          <w:p>
            <w:pPr>
              <w:pStyle w:val="Compact"/>
              <w:jc w:val="right"/>
            </w:pPr>
            <w:r>
              <w:t xml:space="preserve">Total Material Emissions:</w:t>
            </w:r>
          </w:p>
        </w:tc>
        <w:tc>
          <w:tcPr/>
          <w:p>
            <w:pPr>
              <w:pStyle w:val="Compact"/>
              <w:jc w:val="left"/>
            </w:pPr>
            <w:r>
              <w:t xml:space="preserve">4.90 kgCO2e</w:t>
            </w:r>
          </w:p>
        </w:tc>
      </w:tr>
    </w:tbl>
    <w:p>
      <w:pPr>
        <w:pStyle w:val="BodyText"/>
      </w:pPr>
      <w:r>
        <w:rPr>
          <w:iCs/>
          <w:i/>
        </w:rPr>
        <w:t xml:space="preserve">Note: The BOM data presented is illustrative, generated to demonstrate the calculation methodology as the specific content of \'tkdmsfes\' was a placeholder string.</w:t>
      </w:r>
    </w:p>
    <w:bookmarkEnd w:id="26"/>
    <w:bookmarkStart w:id="27" w:name="energy-inputs-production-phase"/>
    <w:p>
      <w:pPr>
        <w:pStyle w:val="Heading3"/>
      </w:pPr>
      <w:r>
        <w:t xml:space="preserve">3.2. Energy Inputs (Production Phase)</w:t>
      </w:r>
    </w:p>
    <w:p>
      <w:pPr>
        <w:pStyle w:val="FirstParagraph"/>
      </w:pPr>
      <w:r>
        <w:t xml:space="preserve">The energy customization data (illustrative, based on \'ygjpgofmqz\' and \'mjmlgedevq\' placeholders) was incorporated for the production phase footprint:</w:t>
      </w:r>
    </w:p>
    <w:p>
      <w:pPr>
        <w:numPr>
          <w:ilvl w:val="0"/>
          <w:numId w:val="1004"/>
        </w:numPr>
        <w:pStyle w:val="Compact"/>
      </w:pPr>
      <w:r>
        <w:rPr>
          <w:bCs/>
          <w:b/>
        </w:rPr>
        <w:t xml:space="preserve">Renewable Energy Usage:</w:t>
      </w:r>
      <w:r>
        <w:t xml:space="preserve"> </w:t>
      </w:r>
      <w:r>
        <w:t xml:space="preserve">60%</w:t>
      </w:r>
    </w:p>
    <w:p>
      <w:pPr>
        <w:numPr>
          <w:ilvl w:val="0"/>
          <w:numId w:val="1004"/>
        </w:numPr>
        <w:pStyle w:val="Compact"/>
      </w:pPr>
      <w:r>
        <w:rPr>
          <w:bCs/>
          <w:b/>
        </w:rPr>
        <w:t xml:space="preserve">Energy Intensity (kWh/unit):</w:t>
      </w:r>
      <w:r>
        <w:t xml:space="preserve"> </w:t>
      </w:r>
      <w:r>
        <w:t xml:space="preserve">8 kWh/unit</w:t>
      </w:r>
    </w:p>
    <w:p>
      <w:pPr>
        <w:numPr>
          <w:ilvl w:val="0"/>
          <w:numId w:val="1004"/>
        </w:numPr>
        <w:pStyle w:val="Compact"/>
      </w:pPr>
      <w:r>
        <w:rPr>
          <w:bCs/>
          <w:b/>
        </w:rPr>
        <w:t xml:space="preserve">Grid Emission Factor (China):</w:t>
      </w:r>
      <w:r>
        <w:t xml:space="preserve"> </w:t>
      </w:r>
      <w:r>
        <w:t xml:space="preserve">0.60 kgCO2e/kWh (illustrative industry average)</w:t>
      </w:r>
    </w:p>
    <w:bookmarkEnd w:id="27"/>
    <w:bookmarkStart w:id="28" w:name="transport-logistics"/>
    <w:p>
      <w:pPr>
        <w:pStyle w:val="Heading3"/>
      </w:pPr>
      <w:r>
        <w:t xml:space="preserve">3.3. Transport Logistics</w:t>
      </w:r>
    </w:p>
    <w:p>
      <w:pPr>
        <w:pStyle w:val="FirstParagraph"/>
      </w:pPr>
      <w:r>
        <w:t xml:space="preserve">Specific logistics data (illustrative, based on \'Select Mode\', \'kfjfxhfwyy\', \'Delivery Type\' placeholders) was integrated into the supply chain analysis:</w:t>
      </w:r>
    </w:p>
    <w:p>
      <w:pPr>
        <w:numPr>
          <w:ilvl w:val="0"/>
          <w:numId w:val="1005"/>
        </w:numPr>
        <w:pStyle w:val="Compact"/>
      </w:pPr>
      <w:r>
        <w:rPr>
          <w:bCs/>
          <w:b/>
        </w:rPr>
        <w:t xml:space="preserve">Main Transport Mode:</w:t>
      </w:r>
      <w:r>
        <w:t xml:space="preserve"> </w:t>
      </w:r>
      <w:r>
        <w:t xml:space="preserve">Road freight, HGV &gt; 16t</w:t>
      </w:r>
    </w:p>
    <w:p>
      <w:pPr>
        <w:numPr>
          <w:ilvl w:val="0"/>
          <w:numId w:val="1005"/>
        </w:numPr>
        <w:pStyle w:val="Compact"/>
      </w:pPr>
      <w:r>
        <w:rPr>
          <w:bCs/>
          <w:b/>
        </w:rPr>
        <w:t xml:space="preserve">Main Transport Distance:</w:t>
      </w:r>
      <w:r>
        <w:t xml:space="preserve"> </w:t>
      </w:r>
      <w:r>
        <w:t xml:space="preserve">1500 km</w:t>
      </w:r>
    </w:p>
    <w:p>
      <w:pPr>
        <w:numPr>
          <w:ilvl w:val="0"/>
          <w:numId w:val="1005"/>
        </w:numPr>
        <w:pStyle w:val="Compact"/>
      </w:pPr>
      <w:r>
        <w:rPr>
          <w:bCs/>
          <w:b/>
        </w:rPr>
        <w:t xml:space="preserve">Main Transport Emission Factor:</w:t>
      </w:r>
      <w:r>
        <w:t xml:space="preserve"> </w:t>
      </w:r>
      <w:r>
        <w:t xml:space="preserve">0.09 kgCO2e/tkm (illustrative industry average)</w:t>
      </w:r>
    </w:p>
    <w:p>
      <w:pPr>
        <w:numPr>
          <w:ilvl w:val="0"/>
          <w:numId w:val="1005"/>
        </w:numPr>
        <w:pStyle w:val="Compact"/>
      </w:pPr>
      <w:r>
        <w:rPr>
          <w:bCs/>
          <w:b/>
        </w:rPr>
        <w:t xml:space="preserve">Last-Mile Delivery Channel:</w:t>
      </w:r>
      <w:r>
        <w:t xml:space="preserve"> </w:t>
      </w:r>
      <w:r>
        <w:t xml:space="preserve">Van delivery (diesel)</w:t>
      </w:r>
    </w:p>
    <w:p>
      <w:pPr>
        <w:numPr>
          <w:ilvl w:val="0"/>
          <w:numId w:val="1005"/>
        </w:numPr>
        <w:pStyle w:val="Compact"/>
      </w:pPr>
      <w:r>
        <w:rPr>
          <w:bCs/>
          <w:b/>
        </w:rPr>
        <w:t xml:space="preserve">Last-Mile Delivery Distance:</w:t>
      </w:r>
      <w:r>
        <w:t xml:space="preserve"> </w:t>
      </w:r>
      <w:r>
        <w:t xml:space="preserve">50 km/unit</w:t>
      </w:r>
    </w:p>
    <w:p>
      <w:pPr>
        <w:numPr>
          <w:ilvl w:val="0"/>
          <w:numId w:val="1005"/>
        </w:numPr>
        <w:pStyle w:val="Compact"/>
      </w:pPr>
      <w:r>
        <w:rPr>
          <w:bCs/>
          <w:b/>
        </w:rPr>
        <w:t xml:space="preserve">Last-Mile Delivery Emission Factor:</w:t>
      </w:r>
      <w:r>
        <w:t xml:space="preserve"> </w:t>
      </w:r>
      <w:r>
        <w:t xml:space="preserve">0.30 kgCO2e/km (illustrative industry average)</w:t>
      </w:r>
    </w:p>
    <w:bookmarkEnd w:id="28"/>
    <w:bookmarkStart w:id="29" w:name="product-use-phase"/>
    <w:p>
      <w:pPr>
        <w:pStyle w:val="Heading3"/>
      </w:pPr>
      <w:r>
        <w:t xml:space="preserve">3.4. Product Use Phase</w:t>
      </w:r>
    </w:p>
    <w:p>
      <w:pPr>
        <w:pStyle w:val="FirstParagraph"/>
      </w:pPr>
      <w:r>
        <w:t xml:space="preserve">The \'Use Phase\' calculation was expanded using the specific durability and consumption data (illustrative, based on \'xlyswvjqzr\' and \'nfxdzulnop\' placeholders):</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kWh/year</w:t>
      </w:r>
    </w:p>
    <w:p>
      <w:pPr>
        <w:numPr>
          <w:ilvl w:val="0"/>
          <w:numId w:val="1006"/>
        </w:numPr>
        <w:pStyle w:val="Compact"/>
      </w:pPr>
      <w:r>
        <w:rPr>
          <w:bCs/>
          <w:b/>
        </w:rPr>
        <w:t xml:space="preserve">Grid Emission Factor (Europe):</w:t>
      </w:r>
      <w:r>
        <w:t xml:space="preserve"> </w:t>
      </w:r>
      <w:r>
        <w:t xml:space="preserve">0.28 kgCO2e/kWh (illustrative industry average, assuming product use in Europe)</w:t>
      </w:r>
    </w:p>
    <w:bookmarkEnd w:id="29"/>
    <w:bookmarkStart w:id="30" w:name="end-of-life-eol-scenarios"/>
    <w:p>
      <w:pPr>
        <w:pStyle w:val="Heading3"/>
      </w:pPr>
      <w:r>
        <w:t xml:space="preserve">3.5. End-of-Life (EoL) Scenarios</w:t>
      </w:r>
    </w:p>
    <w:p>
      <w:pPr>
        <w:pStyle w:val="FirstParagraph"/>
      </w:pPr>
      <w:r>
        <w:t xml:space="preserve">End-of-Life (EoL) scenarios (illustrative, based on \'ugxhoxnipo\' and \'qfvprzojio\' placeholders) were incorporated to reflect circular economy impacts:</w:t>
      </w:r>
    </w:p>
    <w:p>
      <w:pPr>
        <w:numPr>
          <w:ilvl w:val="0"/>
          <w:numId w:val="1007"/>
        </w:numPr>
        <w:pStyle w:val="Compact"/>
      </w:pPr>
      <w:r>
        <w:rPr>
          <w:bCs/>
          <w:b/>
        </w:rPr>
        <w:t xml:space="preserve">Recyclability Percentage:</w:t>
      </w:r>
      <w:r>
        <w:t xml:space="preserve"> </w:t>
      </w:r>
      <w:r>
        <w:t xml:space="preserve">70%</w:t>
      </w:r>
    </w:p>
    <w:p>
      <w:pPr>
        <w:numPr>
          <w:ilvl w:val="0"/>
          <w:numId w:val="1007"/>
        </w:numPr>
        <w:pStyle w:val="Compact"/>
      </w:pPr>
      <w:r>
        <w:rPr>
          <w:bCs/>
          <w:b/>
        </w:rPr>
        <w:t xml:space="preserve">Circular/Take-back Programs:</w:t>
      </w:r>
      <w:r>
        <w:t xml:space="preserve"> </w:t>
      </w:r>
      <w:r>
        <w:t xml:space="preserve">Yes, formal take-back program in place</w:t>
      </w:r>
    </w:p>
    <w:p>
      <w:pPr>
        <w:numPr>
          <w:ilvl w:val="0"/>
          <w:numId w:val="1007"/>
        </w:numPr>
        <w:pStyle w:val="Compact"/>
      </w:pPr>
      <w:r>
        <w:rPr>
          <w:bCs/>
          <w:b/>
        </w:rPr>
        <w:t xml:space="preserve">Waste to Landfill Emission Factor:</w:t>
      </w:r>
      <w:r>
        <w:t xml:space="preserve"> </w:t>
      </w:r>
      <w:r>
        <w:t xml:space="preserve">0.60 kgCO2e/kg (illustrative industry average)</w:t>
      </w:r>
    </w:p>
    <w:p>
      <w:pPr>
        <w:numPr>
          <w:ilvl w:val="0"/>
          <w:numId w:val="1007"/>
        </w:numPr>
        <w:pStyle w:val="Compact"/>
      </w:pPr>
      <w:r>
        <w:rPr>
          <w:bCs/>
          <w:b/>
        </w:rPr>
        <w:t xml:space="preserve">Recycled Material Credit:</w:t>
      </w:r>
      <w:r>
        <w:t xml:space="preserve"> </w:t>
      </w:r>
      <w:r>
        <w:t xml:space="preserve">-2.00 kgCO2e/kg (illustrative, representing avoided emissions from virgin material production)</w:t>
      </w:r>
    </w:p>
    <w:p>
      <w:r>
        <w:pict>
          <v:rect style="width:0;height:1.5pt" o:hralign="center" o:hrstd="t" o:hr="t"/>
        </w:pict>
      </w:r>
    </w:p>
    <w:bookmarkEnd w:id="30"/>
    <w:bookmarkEnd w:id="31"/>
    <w:bookmarkStart w:id="35" w:name="X007ecb391b6840acd1a107ed79ec740d36d3ba2"/>
    <w:p>
      <w:pPr>
        <w:pStyle w:val="Heading2"/>
      </w:pPr>
      <w:r>
        <w:t xml:space="preserve">4. Emission Calculation and GHG Protocol Scoping</w:t>
      </w:r>
    </w:p>
    <w:p>
      <w:pPr>
        <w:pStyle w:val="FirstParagraph"/>
      </w:pPr>
      <w:r>
        <w:t xml:space="preserve">Emissions for each lifecycle stage were calculated using the activity data and representative emission factors. These were then categorized according to the GHG Protocol scopes.</w:t>
      </w:r>
    </w:p>
    <w:bookmarkStart w:id="32" w:name="ghg-protocol-scopes-breakdown"/>
    <w:p>
      <w:pPr>
        <w:pStyle w:val="Heading3"/>
      </w:pPr>
      <w:r>
        <w:t xml:space="preserve">4.1. GHG Protocol Scopes Breakdown</w:t>
      </w:r>
    </w:p>
    <w:p>
      <w:pPr>
        <w:numPr>
          <w:ilvl w:val="0"/>
          <w:numId w:val="1008"/>
        </w:numPr>
        <w:pStyle w:val="Compact"/>
      </w:pPr>
      <w:r>
        <w:rPr>
          <w:bCs/>
          <w:b/>
        </w:rPr>
        <w:t xml:space="preserve">Scope 1 Emissions (Direct Emissions):</w:t>
      </w:r>
      <w:r>
        <w:t xml:space="preserve"> </w:t>
      </w:r>
      <w:r>
        <w:t xml:space="preserve">0.00 kgCO2e</w:t>
      </w:r>
      <w:r>
        <w:br/>
      </w:r>
      <w:r>
        <w:rPr>
          <w:iCs/>
          <w:i/>
        </w:rPr>
        <w:t xml:space="preserve">(Assumed to be negligible or zero for a product-level PCF at \'factory_gate\' boundary, as direct on-site fuel combustion is typically accounted at the corporate level, or not explicitly provided in parameters.)</w:t>
      </w:r>
    </w:p>
    <w:p>
      <w:pPr>
        <w:numPr>
          <w:ilvl w:val="0"/>
          <w:numId w:val="1008"/>
        </w:numPr>
        <w:pStyle w:val="Compact"/>
      </w:pPr>
      <w:r>
        <w:rPr>
          <w:bCs/>
          <w:b/>
        </w:rPr>
        <w:t xml:space="preserve">Scope 2 Emissions (Purchased Energy):</w:t>
      </w:r>
      <w:r>
        <w:t xml:space="preserve"> </w:t>
      </w:r>
      <w:r>
        <w:t xml:space="preserve">1.92 kgCO2e</w:t>
      </w:r>
      <w:r>
        <w:br/>
      </w:r>
      <w:r>
        <w:rPr>
          <w:iCs/>
          <w:i/>
        </w:rPr>
        <w:t xml:space="preserve">(Emissions from purchased electricity for the manufacturing process, adjusted for renewable energy usage.)</w:t>
      </w:r>
    </w:p>
    <w:p>
      <w:pPr>
        <w:numPr>
          <w:ilvl w:val="0"/>
          <w:numId w:val="1008"/>
        </w:numPr>
        <w:pStyle w:val="Compact"/>
      </w:pPr>
      <w:r>
        <w:rPr>
          <w:bCs/>
          <w:b/>
        </w:rPr>
        <w:t xml:space="preserve">Scope 3 Emissions (Value Chain Emissions):</w:t>
      </w:r>
      <w:r>
        <w:t xml:space="preserve"> </w:t>
      </w:r>
      <w:r>
        <w:t xml:space="preserve">10.68 kgCO2e</w:t>
      </w:r>
      <w:r>
        <w:br/>
      </w:r>
      <w:r>
        <w:rPr>
          <w:iCs/>
          <w:i/>
        </w:rPr>
        <w:t xml:space="preserve">(Encompassing emissions from material extraction and processing, all transportation, product use phase, and end-of-life treatment. This category represents the majority of the product\'s footprint and aligns with the 95% coverage requirement for 2026.)</w:t>
      </w:r>
    </w:p>
    <w:bookmarkEnd w:id="32"/>
    <w:bookmarkStart w:id="33" w:name="total-product-carbon-footprint-pcf"/>
    <w:p>
      <w:pPr>
        <w:pStyle w:val="Heading3"/>
      </w:pPr>
      <w:r>
        <w:t xml:space="preserve">4.2. Total Product Carbon Footprint (PCF)</w:t>
      </w:r>
    </w:p>
    <w:p>
      <w:pPr>
        <w:pStyle w:val="FirstParagraph"/>
      </w:pPr>
      <w:r>
        <w:t xml:space="preserve">The aggregated Product Carbon Footprint for</w:t>
      </w:r>
      <w:r>
        <w:t xml:space="preserve"> </w:t>
      </w:r>
      <w:r>
        <w:rPr>
          <w:bCs/>
          <w:b/>
        </w:rPr>
        <w:t xml:space="preserve">1.0 unit of voqtvnwodl</w:t>
      </w:r>
      <w:r>
        <w:t xml:space="preserve"> </w:t>
      </w:r>
      <w:r>
        <w:t xml:space="preserve">is:</w:t>
      </w:r>
    </w:p>
    <w:p>
      <w:pPr>
        <w:pStyle w:val="BodyText"/>
      </w:pPr>
      <w:r>
        <w:t xml:space="preserve">12.60 kg CO2e</w:t>
      </w:r>
    </w:p>
    <w:bookmarkEnd w:id="33"/>
    <w:bookmarkStart w:id="34" w:name="lifecycle-stage-emissions-breakdown"/>
    <w:p>
      <w:pPr>
        <w:pStyle w:val="Heading3"/>
      </w:pPr>
      <w:r>
        <w:t xml:space="preserve">4.3. Lifecycle Stage Emissions Breakdown</w:t>
      </w:r>
    </w:p>
    <w:p>
      <w:pPr>
        <w:pStyle w:val="FirstParagraph"/>
      </w:pPr>
      <w:r>
        <w:t xml:space="preserve">A detailed breakdown of emissions by lifecycle stage is provided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Percentage of Total PCF</w:t>
            </w:r>
          </w:p>
        </w:tc>
      </w:tr>
      <w:tr>
        <w:tc>
          <w:tcPr/>
          <w:p>
            <w:pPr>
              <w:pStyle w:val="Compact"/>
              <w:jc w:val="left"/>
            </w:pPr>
            <w:r>
              <w:t xml:space="preserve">Materials</w:t>
            </w:r>
          </w:p>
        </w:tc>
        <w:tc>
          <w:tcPr/>
          <w:p>
            <w:pPr>
              <w:pStyle w:val="Compact"/>
              <w:jc w:val="left"/>
            </w:pPr>
            <w:r>
              <w:t xml:space="preserve">4.90 kgCO2e</w:t>
            </w:r>
          </w:p>
        </w:tc>
        <w:tc>
          <w:tcPr/>
          <w:p>
            <w:pPr>
              <w:pStyle w:val="Compact"/>
              <w:jc w:val="left"/>
            </w:pPr>
            <w:r>
              <w:t xml:space="preserve">38.89%</w:t>
            </w:r>
          </w:p>
        </w:tc>
      </w:tr>
      <w:tr>
        <w:tc>
          <w:tcPr/>
          <w:p>
            <w:pPr>
              <w:pStyle w:val="Compact"/>
              <w:jc w:val="left"/>
            </w:pPr>
            <w:r>
              <w:t xml:space="preserve">Production Energy</w:t>
            </w:r>
          </w:p>
        </w:tc>
        <w:tc>
          <w:tcPr/>
          <w:p>
            <w:pPr>
              <w:pStyle w:val="Compact"/>
              <w:jc w:val="left"/>
            </w:pPr>
            <w:r>
              <w:t xml:space="preserve">1.92 kgCO2e</w:t>
            </w:r>
          </w:p>
        </w:tc>
        <w:tc>
          <w:tcPr/>
          <w:p>
            <w:pPr>
              <w:pStyle w:val="Compact"/>
              <w:jc w:val="left"/>
            </w:pPr>
            <w:r>
              <w:t xml:space="preserve">15.24%</w:t>
            </w:r>
          </w:p>
        </w:tc>
      </w:tr>
      <w:tr>
        <w:tc>
          <w:tcPr/>
          <w:p>
            <w:pPr>
              <w:pStyle w:val="Compact"/>
              <w:jc w:val="left"/>
            </w:pPr>
            <w:r>
              <w:t xml:space="preserve">Transport</w:t>
            </w:r>
          </w:p>
        </w:tc>
        <w:tc>
          <w:tcPr/>
          <w:p>
            <w:pPr>
              <w:pStyle w:val="Compact"/>
              <w:jc w:val="left"/>
            </w:pPr>
            <w:r>
              <w:t xml:space="preserve">1.65 kgCO2e</w:t>
            </w:r>
          </w:p>
        </w:tc>
        <w:tc>
          <w:tcPr/>
          <w:p>
            <w:pPr>
              <w:pStyle w:val="Compact"/>
              <w:jc w:val="left"/>
            </w:pPr>
            <w:r>
              <w:t xml:space="preserve">13.10%</w:t>
            </w:r>
          </w:p>
        </w:tc>
      </w:tr>
      <w:tr>
        <w:tc>
          <w:tcPr/>
          <w:p>
            <w:pPr>
              <w:pStyle w:val="Compact"/>
              <w:jc w:val="left"/>
            </w:pPr>
            <w:r>
              <w:t xml:space="preserve">Use Phase</w:t>
            </w:r>
          </w:p>
        </w:tc>
        <w:tc>
          <w:tcPr/>
          <w:p>
            <w:pPr>
              <w:pStyle w:val="Compact"/>
              <w:jc w:val="left"/>
            </w:pPr>
            <w:r>
              <w:t xml:space="preserve">14.00 kgCO2e</w:t>
            </w:r>
          </w:p>
        </w:tc>
        <w:tc>
          <w:tcPr/>
          <w:p>
            <w:pPr>
              <w:pStyle w:val="Compact"/>
              <w:jc w:val="left"/>
            </w:pPr>
            <w:r>
              <w:t xml:space="preserve">111.11%</w:t>
            </w:r>
          </w:p>
        </w:tc>
      </w:tr>
      <w:tr>
        <w:tc>
          <w:tcPr/>
          <w:p>
            <w:pPr>
              <w:pStyle w:val="Compact"/>
              <w:jc w:val="left"/>
            </w:pPr>
            <w:r>
              <w:t xml:space="preserve">End-of-Life</w:t>
            </w:r>
          </w:p>
        </w:tc>
        <w:tc>
          <w:tcPr/>
          <w:p>
            <w:pPr>
              <w:pStyle w:val="Compact"/>
              <w:jc w:val="left"/>
            </w:pPr>
            <w:r>
              <w:t xml:space="preserve">-9.87 kgCO2e</w:t>
            </w:r>
          </w:p>
        </w:tc>
        <w:tc>
          <w:tcPr/>
          <w:p>
            <w:pPr>
              <w:pStyle w:val="Compact"/>
              <w:jc w:val="left"/>
            </w:pPr>
            <w:r>
              <w:t xml:space="preserve">-78.41%</w:t>
            </w:r>
          </w:p>
        </w:tc>
      </w:tr>
      <w:tr>
        <w:tc>
          <w:tcPr/>
          <w:p>
            <w:pPr>
              <w:pStyle w:val="Compact"/>
              <w:jc w:val="right"/>
            </w:pPr>
            <w:r>
              <w:t xml:space="preserve">Total:</w:t>
            </w:r>
          </w:p>
        </w:tc>
        <w:tc>
          <w:tcPr/>
          <w:p>
            <w:pPr>
              <w:pStyle w:val="Compact"/>
              <w:jc w:val="left"/>
            </w:pPr>
            <w:r>
              <w:t xml:space="preserve">12.60 kgCO2e</w:t>
            </w:r>
          </w:p>
        </w:tc>
        <w:tc>
          <w:tcPr/>
          <w:p>
            <w:pPr>
              <w:pStyle w:val="Compact"/>
              <w:jc w:val="left"/>
            </w:pPr>
            <w:r>
              <w:t xml:space="preserve">100.00%</w:t>
            </w:r>
          </w:p>
        </w:tc>
      </w:tr>
    </w:tbl>
    <w:p>
      <w:r>
        <w:pict>
          <v:rect style="width:0;height:1.5pt" o:hralign="center" o:hrstd="t" o:hr="t"/>
        </w:pict>
      </w:r>
    </w:p>
    <w:bookmarkEnd w:id="34"/>
    <w:bookmarkEnd w:id="35"/>
    <w:bookmarkStart w:id="38" w:name="review-report"/>
    <w:p>
      <w:pPr>
        <w:pStyle w:val="Heading2"/>
      </w:pPr>
      <w:r>
        <w:t xml:space="preserve">5. Review &amp; Report</w:t>
      </w:r>
    </w:p>
    <w:bookmarkStart w:id="36" w:name="hotspots-identification"/>
    <w:p>
      <w:pPr>
        <w:pStyle w:val="Heading3"/>
      </w:pPr>
      <w:r>
        <w:t xml:space="preserve">5.1. Hotspots Identification</w:t>
      </w:r>
    </w:p>
    <w:p>
      <w:pPr>
        <w:pStyle w:val="FirstParagraph"/>
      </w:pPr>
      <w:r>
        <w:t xml:space="preserve">Based on the calculations, the primary emissions hotspots for</w:t>
      </w:r>
      <w:r>
        <w:t xml:space="preserve"> </w:t>
      </w:r>
      <w:r>
        <w:rPr>
          <w:bCs/>
          <w:b/>
        </w:rPr>
        <w:t xml:space="preserve">voqtvnwodl</w:t>
      </w:r>
      <w:r>
        <w:t xml:space="preserve"> </w:t>
      </w:r>
      <w:r>
        <w:t xml:space="preserve">are:</w:t>
      </w:r>
    </w:p>
    <w:p>
      <w:pPr>
        <w:numPr>
          <w:ilvl w:val="0"/>
          <w:numId w:val="1009"/>
        </w:numPr>
        <w:pStyle w:val="Compact"/>
      </w:pPr>
      <w:r>
        <w:rPr>
          <w:bCs/>
          <w:b/>
        </w:rPr>
        <w:t xml:space="preserve">Materials Acquisition and Processing:</w:t>
      </w:r>
      <w:r>
        <w:t xml:space="preserve"> </w:t>
      </w:r>
      <w:r>
        <w:t xml:space="preserve">Accounting for 38.89% of the total PCF. This highlights the importance of sustainable material choices, optimizing material usage, and exploring components with lower embodied carbon.</w:t>
      </w:r>
    </w:p>
    <w:p>
      <w:pPr>
        <w:numPr>
          <w:ilvl w:val="0"/>
          <w:numId w:val="1009"/>
        </w:numPr>
        <w:pStyle w:val="Compact"/>
      </w:pPr>
      <w:r>
        <w:rPr>
          <w:bCs/>
          <w:b/>
        </w:rPr>
        <w:t xml:space="preserve">Use Phase:</w:t>
      </w:r>
      <w:r>
        <w:t xml:space="preserve"> </w:t>
      </w:r>
      <w:r>
        <w:t xml:space="preserve">Contributing 111.11% to the total PCF. The energy consumption during the product\'s lifespan is a significant factor. Improving energy efficiency of the product and promoting renewable energy sources for end-users are critical.</w:t>
      </w:r>
    </w:p>
    <w:p>
      <w:pPr>
        <w:numPr>
          <w:ilvl w:val="0"/>
          <w:numId w:val="1009"/>
        </w:numPr>
        <w:pStyle w:val="Compact"/>
      </w:pPr>
      <w:r>
        <w:rPr>
          <w:bCs/>
          <w:b/>
        </w:rPr>
        <w:t xml:space="preserve">End-of-Life:</w:t>
      </w:r>
      <w:r>
        <w:t xml:space="preserve"> </w:t>
      </w:r>
      <w:r>
        <w:t xml:space="preserve">Representing -78.41% of the total PCF. Enhancing recyclability and expanding take-back programs can significantly reduce this impact by maximizing material recovery and minimizing landfill waste.</w:t>
      </w:r>
    </w:p>
    <w:bookmarkEnd w:id="36"/>
    <w:bookmarkStart w:id="37" w:name="reliability-statement"/>
    <w:p>
      <w:pPr>
        <w:pStyle w:val="Heading3"/>
      </w:pPr>
      <w:r>
        <w:t xml:space="preserve">5.2. Reliability Statement</w:t>
      </w:r>
    </w:p>
    <w:p>
      <w:pPr>
        <w:pStyle w:val="FirstParagraph"/>
      </w:pPr>
      <w:r>
        <w:t xml:space="preserve">The reliability of this PCF analysis is contingent upon the accuracy and representativeness of the input data. As several parameters were provided as placeholders, illustrative industry-average emission factors have been used. While these factors are generally robust and sourced from reputable databases (e.g., Ecoinvent, DEFRA, acknowledged through search results), primary data directly from suppliers and operations for</w:t>
      </w:r>
      <w:r>
        <w:t xml:space="preserve"> </w:t>
      </w:r>
      <w:r>
        <w:rPr>
          <w:bCs/>
          <w:b/>
        </w:rPr>
        <w:t xml:space="preserve">mpswpyiiqo</w:t>
      </w:r>
      <w:r>
        <w:t xml:space="preserve"> </w:t>
      </w:r>
      <w:r>
        <w:t xml:space="preserve">would significantly enhance the accuracy and specificity of the results. This report serves as a valuable estimate and a foundation for identifying key areas for carbon reduction. Continuous improvement in data collection, especially for Scope 3 emissions, will be vital for future reporting to meet evolving standards.</w:t>
      </w:r>
    </w:p>
    <w:p>
      <w:pPr>
        <w:pStyle w:val="BodyText"/>
      </w:pPr>
      <w:r>
        <w:t xml:space="preserve">Confidential - Internal Use Only. | Page</w:t>
      </w:r>
      <w:r>
        <w:t xml:space="preserve"> </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voqtvnwodl</dc:title>
  <dc:creator/>
  <dc:description>Product Carbon Footprint (PCF) analysis report for voqtvnwodl by mpswpyiiqo, following GHG Protocol standards.</dc:description>
  <dc:language>en</dc:language>
  <cp:keywords/>
  <dcterms:created xsi:type="dcterms:W3CDTF">2026-05-30T18:32:10Z</dcterms:created>
  <dcterms:modified xsi:type="dcterms:W3CDTF">2026-05-30T18:32:10Z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