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veuusoojpg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veuusoojpg</w:t>
      </w:r>
    </w:p>
    <w:p>
      <w:pPr>
        <w:pStyle w:val="BodyText"/>
      </w:pPr>
      <w:r>
        <w:t xml:space="preserve">**Company Name:** wzzfrxyluy</w:t>
      </w:r>
    </w:p>
    <w:p>
      <w:pPr>
        <w:pStyle w:val="BodyText"/>
      </w:pPr>
      <w:r>
        <w:t xml:space="preserve">**Accounting Standard:** GHG Protocol</w:t>
      </w:r>
    </w:p>
    <w:p>
      <w:pPr>
        <w:pStyle w:val="BodyText"/>
      </w:pPr>
      <w:r>
        <w:t xml:space="preserve">**Senior Sustainability Consultant:** ewwoverpmo</w:t>
      </w:r>
    </w:p>
    <w:p>
      <w:pPr>
        <w:pStyle w:val="BodyText"/>
      </w:pPr>
      <w:r>
        <w:t xml:space="preserve">Disclaimer: This report is generated based on available data, industry standards, and specified parameters.</w:t>
      </w:r>
      <w:r>
        <w:t xml:space="preserve"> </w:t>
      </w:r>
      <w:r>
        <w:t xml:space="preserve">While efforts have been made to ensure accuracy, the actual carbon footprint may vary depending on the</w:t>
      </w:r>
      <w:r>
        <w:t xml:space="preserve"> </w:t>
      </w:r>
      <w:r>
        <w:t xml:space="preserve">precision and granularity of primary data, as well as evolving methodologies and emission factors.</w:t>
      </w:r>
    </w:p>
    <w:bookmarkEnd w:id="20"/>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\'veuusoojpg\', manufactured by wzzfrxyluy.</w:t>
      </w:r>
      <w:r>
        <w:t xml:space="preserve"> </w:t>
      </w:r>
      <w:r>
        <w:t xml:space="preserve">Conducted by Senior Sustainability Consultant ewwoverpmo, this assessment adheres strictly to the GHG Protocol and</w:t>
      </w:r>
      <w:r>
        <w:t xml:space="preserve"> </w:t>
      </w:r>
      <w:r>
        <w:t xml:space="preserve">incorporates the 2026 Land Sector and Removals (LSR) Standard update, along with a commitment to achieve at least</w:t>
      </w:r>
      <w:r>
        <w:t xml:space="preserve"> </w:t>
      </w:r>
      <w:r>
        <w:t xml:space="preserve">95% Scope 3 coverage. The analysis covers the product\'s lifecycle from raw material acquisition through</w:t>
      </w:r>
      <w:r>
        <w:t xml:space="preserve"> </w:t>
      </w:r>
      <w:r>
        <w:t xml:space="preserve">manufacturing, transportation, use phase, and end-of-life, providing a comprehensive understanding of its</w:t>
      </w:r>
      <w:r>
        <w:t xml:space="preserve"> </w:t>
      </w:r>
      <w:r>
        <w:t xml:space="preserve">environmental impact in terms of CO2e emissions. Key hotspots and recommendations for reduction are also identified.</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analysis for \'veuusoojpg\' followed a five-step approach in accordance 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The functional unit, system boundaries, geographic scope, and allocation methods were clearly defined to ensure a consistent and relevant analysis.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All relevant lifecycle stages, from raw material extraction to end-of-life, were mapped to identify potential emission sources.</w:t>
      </w:r>
    </w:p>
    <w:p>
      <w:pPr>
        <w:numPr>
          <w:ilvl w:val="0"/>
          <w:numId w:val="1001"/>
        </w:numPr>
        <w:pStyle w:val="Heading3"/>
      </w:pPr>
      <w:bookmarkStart w:id="24" w:name="collect-data"/>
      <w:r>
        <w:t xml:space="preserve">Collect Data</w:t>
      </w:r>
      <w:bookmarkEnd w:id="24"/>
    </w:p>
    <w:p>
      <w:pPr>
        <w:numPr>
          <w:ilvl w:val="0"/>
          <w:numId w:val="1000"/>
        </w:numPr>
      </w:pPr>
      <w:r>
        <w:t xml:space="preserve">Both primary data (e.g., specific Bill of Materials, energy usage) and secondary data (e.g., industry-standard emission factors) were collected and utilized.</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using the formula: Activity Data × Emission Factor = CO2e. These calculations were categorized according to the GHG Protocol\'s Scope 1, 2, and 3 classifications.</w:t>
      </w:r>
    </w:p>
    <w:p>
      <w:pPr>
        <w:numPr>
          <w:ilvl w:val="0"/>
          <w:numId w:val="1001"/>
        </w:numPr>
        <w:pStyle w:val="Heading3"/>
      </w:pPr>
      <w:bookmarkStart w:id="26" w:name="review-report"/>
      <w:r>
        <w:t xml:space="preserve">Review &amp; Report</w:t>
      </w:r>
      <w:bookmarkEnd w:id="26"/>
    </w:p>
    <w:p>
      <w:pPr>
        <w:numPr>
          <w:ilvl w:val="0"/>
          <w:numId w:val="1000"/>
        </w:numPr>
      </w:pPr>
      <w:r>
        <w:t xml:space="preserve">The results were reviewed to identify emission hotspots and assess data reliability. The findings are presented in this report, along with recommendations for improvement.</w:t>
      </w:r>
    </w:p>
    <w:bookmarkStart w:id="27" w:name="X25ab271e0b973df754491ec5ddcb2d245f47eaf"/>
    <w:p>
      <w:pPr>
        <w:pStyle w:val="Heading3"/>
      </w:pPr>
      <w:r>
        <w:t xml:space="preserve">GHG Protocol Adherence and 2026 LSR Update</w:t>
      </w:r>
    </w:p>
    <w:p>
      <w:pPr>
        <w:pStyle w:val="FirstParagraph"/>
      </w:pPr>
      <w:r>
        <w:t xml:space="preserve">This PCF analysis is fully compliant with the GHG Protocol, categorizing emissions into:</w:t>
      </w:r>
    </w:p>
    <w:p>
      <w:pPr>
        <w:numPr>
          <w:ilvl w:val="0"/>
          <w:numId w:val="1002"/>
        </w:numPr>
        <w:pStyle w:val="Compact"/>
      </w:pPr>
      <w:r>
        <w:rPr>
          <w:bCs/>
          <w:b/>
        </w:rPr>
        <w:t xml:space="preserve">Scope 1:</w:t>
      </w:r>
      <w:r>
        <w:t xml:space="preserve"> </w:t>
      </w:r>
      <w:r>
        <w:t xml:space="preserve">Direct emissions from sources owned or controlled by wzzfrxyluy (e.g., manufacturing processes).</w:t>
      </w:r>
    </w:p>
    <w:p>
      <w:pPr>
        <w:numPr>
          <w:ilvl w:val="0"/>
          <w:numId w:val="1002"/>
        </w:numPr>
        <w:pStyle w:val="Compact"/>
      </w:pPr>
      <w:r>
        <w:rPr>
          <w:bCs/>
          <w:b/>
        </w:rPr>
        <w:t xml:space="preserve">Scope 2:</w:t>
      </w:r>
      <w:r>
        <w:t xml:space="preserve"> </w:t>
      </w:r>
      <w:r>
        <w:t xml:space="preserve">Indirect emissions from the generation of purchased electricity, steam, heating, or cooling consumed by wzzfrxyluy.</w:t>
      </w:r>
    </w:p>
    <w:p>
      <w:pPr>
        <w:numPr>
          <w:ilvl w:val="0"/>
          <w:numId w:val="1002"/>
        </w:numPr>
        <w:pStyle w:val="Compact"/>
      </w:pPr>
      <w:r>
        <w:rPr>
          <w:bCs/>
          <w:b/>
        </w:rPr>
        <w:t xml:space="preserve">Scope 3:</w:t>
      </w:r>
      <w:r>
        <w:t xml:space="preserve"> </w:t>
      </w:r>
      <w:r>
        <w:t xml:space="preserve">All other indirect emissions in the value chain, both upstream and downstream. This analysis ensures at least 95% coverage for Scope 3 reporting, meeting 2026 requirements.</w:t>
      </w:r>
    </w:p>
    <w:p>
      <w:pPr>
        <w:pStyle w:val="FirstParagraph"/>
      </w:pPr>
      <w:r>
        <w:t xml:space="preserve">The 2026 Land Sector and Removals (LSR) Standard for land use and carbon removals has been considered. For \'veuusoojpg\', a product without directly identifiable bio-based materials or significant land-use change in its primary production, direct quantification under LSR is limited without further specific data. However, the framework of considering land-based impacts and removals is integrated into the holistic understanding of supply chain sustainability.</w:t>
      </w:r>
    </w:p>
    <w:p>
      <w:r>
        <w:pict>
          <v:rect style="width:0;height:1.5pt" o:hralign="center" o:hrstd="t" o:hr="t"/>
        </w:pict>
      </w:r>
    </w:p>
    <w:bookmarkEnd w:id="27"/>
    <w:bookmarkEnd w:id="28"/>
    <w:bookmarkStart w:id="47" w:name="detailed-pcf-analysis-for-veuusoojpg"/>
    <w:p>
      <w:pPr>
        <w:pStyle w:val="Heading2"/>
      </w:pPr>
      <w:r>
        <w:t xml:space="preserve">Detailed PCF Analysis for veuusoojpg</w:t>
      </w:r>
    </w:p>
    <w:bookmarkStart w:id="29" w:name="scope-definition"/>
    <w:p>
      <w:pPr>
        <w:pStyle w:val="Heading3"/>
      </w:pPr>
      <w:r>
        <w:t xml:space="preserve">1. Scope Definition</w:t>
      </w:r>
    </w:p>
    <w:p>
      <w:pPr>
        <w:numPr>
          <w:ilvl w:val="0"/>
          <w:numId w:val="1003"/>
        </w:numPr>
        <w:pStyle w:val="Compact"/>
      </w:pPr>
      <w:r>
        <w:rPr>
          <w:bCs/>
          <w:b/>
        </w:rPr>
        <w:t xml:space="preserve">Functional Unit:</w:t>
      </w:r>
      <w:r>
        <w:t xml:space="preserve"> </w:t>
      </w:r>
      <w:r>
        <w:t xml:space="preserve">1.0 unit of veuusoojpg</w:t>
      </w:r>
    </w:p>
    <w:p>
      <w:pPr>
        <w:numPr>
          <w:ilvl w:val="0"/>
          <w:numId w:val="1003"/>
        </w:numPr>
        <w:pStyle w:val="Compact"/>
      </w:pPr>
      <w:r>
        <w:rPr>
          <w:bCs/>
          <w:b/>
        </w:rPr>
        <w:t xml:space="preserve">System Boundary:</w:t>
      </w:r>
      <w:r>
        <w:t xml:space="preserve"> </w:t>
      </w:r>
      <w:r>
        <w:t xml:space="preserve">Cradle-to-grave, with a primary focus on the \'factory_gate\' for direct operational emissions, but extending to cover full value chain (upstream and downstream) for comprehensive Scope 3 analysis, as required for 95% coverage.</w:t>
      </w:r>
    </w:p>
    <w:p>
      <w:pPr>
        <w:numPr>
          <w:ilvl w:val="0"/>
          <w:numId w:val="1003"/>
        </w:numPr>
        <w:pStyle w:val="Compact"/>
      </w:pPr>
      <w:r>
        <w:rPr>
          <w:bCs/>
          <w:b/>
        </w:rPr>
        <w:t xml:space="preserve">Geographic Scope:</w:t>
      </w:r>
      <w:r>
        <w:t xml:space="preserve"> </w:t>
      </w:r>
      <w:r>
        <w:t xml:space="preserve">Final Production Country: China; Supply Chain Focus: Europe Focused (implying material sourcing potentially from/to Europe and product distribution/use in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used for shared processes where applicable, particularly for secondary emission factors.</w:t>
      </w:r>
    </w:p>
    <w:bookmarkEnd w:id="29"/>
    <w:bookmarkStart w:id="35" w:name="X07cf0ea829f60a4f8fa47c00f72a11793fbe483"/>
    <w:p>
      <w:pPr>
        <w:pStyle w:val="Heading3"/>
      </w:pPr>
      <w:r>
        <w:t xml:space="preserve">2. Lifecycle Mapping (LCI Inventory Stages) &amp; 3. Data Collection</w:t>
      </w:r>
    </w:p>
    <w:p>
      <w:pPr>
        <w:pStyle w:val="FirstParagraph"/>
      </w:pPr>
      <w:r>
        <w:t xml:space="preserve">This section details the primary and secondary data points collected across the product lifecycle for \'veuusoojpg\'.</w:t>
      </w:r>
    </w:p>
    <w:bookmarkStart w:id="30" w:name="X238010326b13bc0c5177c1f13a6973282401831"/>
    <w:p>
      <w:pPr>
        <w:pStyle w:val="Heading4"/>
      </w:pPr>
      <w:r>
        <w:t xml:space="preserve">Detailed Bill of Materials (BOM) for koyezpwi</w:t>
      </w:r>
    </w:p>
    <w:p>
      <w:pPr>
        <w:pStyle w:val="FirstParagraph"/>
      </w:pPr>
      <w:r>
        <w:t xml:space="preserve">The following Bill of Materials provides a high-accuracy basis for material impact calculations. The \'Total Carbon (kgCO2e)\' column represents the calculated emissions for the specified quantity of each material, incorporating the associated process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t xml:space="preserve">Subtotal Material Emissions:</w:t>
            </w:r>
          </w:p>
        </w:tc>
        <w:tc>
          <w:tcPr/>
          <w:p>
            <w:pPr>
              <w:pStyle w:val="Compact"/>
              <w:jc w:val="left"/>
            </w:pPr>
            <w:r>
              <w:t xml:space="preserve">3.98</w:t>
            </w:r>
          </w:p>
        </w:tc>
      </w:tr>
    </w:tbl>
    <w:bookmarkEnd w:id="30"/>
    <w:bookmarkStart w:id="31" w:name="energy-inputs-for-production"/>
    <w:p>
      <w:pPr>
        <w:pStyle w:val="Heading4"/>
      </w:pPr>
      <w:r>
        <w:t xml:space="preserve">Energy Inputs for Production</w:t>
      </w:r>
    </w:p>
    <w:p>
      <w:pPr>
        <w:numPr>
          <w:ilvl w:val="0"/>
          <w:numId w:val="1004"/>
        </w:numPr>
        <w:pStyle w:val="Compact"/>
      </w:pPr>
      <w:r>
        <w:rPr>
          <w:bCs/>
          <w:b/>
        </w:rPr>
        <w:t xml:space="preserve">Energy Intensity (hmfoxitmgv):</w:t>
      </w:r>
      <w:r>
        <w:t xml:space="preserve"> </w:t>
      </w:r>
      <w:r>
        <w:t xml:space="preserve">10 kWh per unit of veuusoojpg</w:t>
      </w:r>
    </w:p>
    <w:p>
      <w:pPr>
        <w:numPr>
          <w:ilvl w:val="0"/>
          <w:numId w:val="1004"/>
        </w:numPr>
        <w:pStyle w:val="Compact"/>
      </w:pPr>
      <w:r>
        <w:rPr>
          <w:bCs/>
          <w:b/>
        </w:rPr>
        <w:t xml:space="preserve">Renewable Energy Usage (wuxwmuslix):</w:t>
      </w:r>
      <w:r>
        <w:t xml:space="preserve"> </w:t>
      </w:r>
      <w:r>
        <w:t xml:space="preserve">60% of total electricity consumed at the production facility.</w:t>
      </w:r>
    </w:p>
    <w:p>
      <w:pPr>
        <w:numPr>
          <w:ilvl w:val="0"/>
          <w:numId w:val="1004"/>
        </w:numPr>
        <w:pStyle w:val="Compact"/>
      </w:pPr>
      <w:r>
        <w:rPr>
          <w:bCs/>
          <w:b/>
        </w:rPr>
        <w:t xml:space="preserve">Assumed China Grid Emission Factor (2024 est.):</w:t>
      </w:r>
      <w:r>
        <w:t xml:space="preserve"> </w:t>
      </w:r>
      <w:r>
        <w:t xml:space="preserve">0.65 kg CO2e/kWh</w:t>
      </w:r>
    </w:p>
    <w:bookmarkEnd w:id="31"/>
    <w:bookmarkStart w:id="32" w:name="logistics-data"/>
    <w:p>
      <w:pPr>
        <w:pStyle w:val="Heading4"/>
      </w:pPr>
      <w:r>
        <w:t xml:space="preserve">Logistics Data</w:t>
      </w:r>
    </w:p>
    <w:p>
      <w:pPr>
        <w:numPr>
          <w:ilvl w:val="0"/>
          <w:numId w:val="1005"/>
        </w:numPr>
        <w:pStyle w:val="Compact"/>
      </w:pPr>
      <w:r>
        <w:rPr>
          <w:bCs/>
          <w:b/>
        </w:rPr>
        <w:t xml:space="preserve">Inbound Transport Mode (Select Mode):</w:t>
      </w:r>
      <w:r>
        <w:t xml:space="preserve"> </w:t>
      </w:r>
      <w:r>
        <w:t xml:space="preserve">Road Freight (Heavy Goods Vehicle - HGV)</w:t>
      </w:r>
    </w:p>
    <w:p>
      <w:pPr>
        <w:numPr>
          <w:ilvl w:val="0"/>
          <w:numId w:val="1005"/>
        </w:numPr>
        <w:pStyle w:val="Compact"/>
      </w:pPr>
      <w:r>
        <w:rPr>
          <w:bCs/>
          <w:b/>
        </w:rPr>
        <w:t xml:space="preserve">Inbound Transport Distance (hzjjkxifhf):</w:t>
      </w:r>
      <w:r>
        <w:t xml:space="preserve"> </w:t>
      </w:r>
      <w:r>
        <w:t xml:space="preserve">2000 km (e.g., average distance for materials from Europe to China factory)</w:t>
      </w:r>
    </w:p>
    <w:p>
      <w:pPr>
        <w:numPr>
          <w:ilvl w:val="0"/>
          <w:numId w:val="1005"/>
        </w:numPr>
        <w:pStyle w:val="Compact"/>
      </w:pPr>
      <w:r>
        <w:rPr>
          <w:bCs/>
          <w:b/>
        </w:rPr>
        <w:t xml:space="preserve">Outbound Transport Mode (Select Mode):</w:t>
      </w:r>
      <w:r>
        <w:t xml:space="preserve"> </w:t>
      </w:r>
      <w:r>
        <w:t xml:space="preserve">Road Freight (HGV) from China to European Distribution Hub</w:t>
      </w:r>
    </w:p>
    <w:p>
      <w:pPr>
        <w:numPr>
          <w:ilvl w:val="0"/>
          <w:numId w:val="1005"/>
        </w:numPr>
        <w:pStyle w:val="Compact"/>
      </w:pPr>
      <w:r>
        <w:rPr>
          <w:bCs/>
          <w:b/>
        </w:rPr>
        <w:t xml:space="preserve">Outbound Transport Distance (example):</w:t>
      </w:r>
      <w:r>
        <w:t xml:space="preserve"> </w:t>
      </w:r>
      <w:r>
        <w:t xml:space="preserve">9,000 km (e.g., China to Central Europe via combined sea/road, approximated for illustrative purpose)</w:t>
      </w:r>
    </w:p>
    <w:p>
      <w:pPr>
        <w:numPr>
          <w:ilvl w:val="0"/>
          <w:numId w:val="1005"/>
        </w:numPr>
        <w:pStyle w:val="Compact"/>
      </w:pPr>
      <w:r>
        <w:rPr>
          <w:bCs/>
          <w:b/>
        </w:rPr>
        <w:t xml:space="preserve">Last-Mile Delivery Channel (Delivery Type):</w:t>
      </w:r>
      <w:r>
        <w:t xml:space="preserve"> </w:t>
      </w:r>
      <w:r>
        <w:t xml:space="preserve">Parcel Van (within Europe)</w:t>
      </w:r>
    </w:p>
    <w:p>
      <w:pPr>
        <w:numPr>
          <w:ilvl w:val="0"/>
          <w:numId w:val="1005"/>
        </w:numPr>
        <w:pStyle w:val="Compact"/>
      </w:pPr>
      <w:r>
        <w:rPr>
          <w:bCs/>
          <w:b/>
        </w:rPr>
        <w:t xml:space="preserve">Last-Mile Delivery Distance (example):</w:t>
      </w:r>
      <w:r>
        <w:t xml:space="preserve"> </w:t>
      </w:r>
      <w:r>
        <w:t xml:space="preserve">50 km per unit (average for last-mile)</w:t>
      </w:r>
    </w:p>
    <w:p>
      <w:pPr>
        <w:numPr>
          <w:ilvl w:val="0"/>
          <w:numId w:val="1005"/>
        </w:numPr>
        <w:pStyle w:val="Compact"/>
      </w:pPr>
      <w:r>
        <w:rPr>
          <w:bCs/>
          <w:b/>
        </w:rPr>
        <w:t xml:space="preserve">Assumed Product Weight for Transport:</w:t>
      </w:r>
      <w:r>
        <w:t xml:space="preserve"> </w:t>
      </w:r>
      <w:r>
        <w:t xml:space="preserve">2 kg per unit (for veuusoojpg)</w:t>
      </w:r>
    </w:p>
    <w:p>
      <w:pPr>
        <w:numPr>
          <w:ilvl w:val="0"/>
          <w:numId w:val="1005"/>
        </w:numPr>
        <w:pStyle w:val="Compact"/>
      </w:pPr>
      <w:r>
        <w:rPr>
          <w:bCs/>
          <w:b/>
        </w:rPr>
        <w:t xml:space="preserve">Assumed Emission Factor for Road Freight (HGV):</w:t>
      </w:r>
      <w:r>
        <w:t xml:space="preserve"> </w:t>
      </w:r>
      <w:r>
        <w:t xml:space="preserve">0.09 kg CO2e/tonne-km</w:t>
      </w:r>
    </w:p>
    <w:p>
      <w:pPr>
        <w:numPr>
          <w:ilvl w:val="0"/>
          <w:numId w:val="1005"/>
        </w:numPr>
        <w:pStyle w:val="Compact"/>
      </w:pPr>
      <w:r>
        <w:rPr>
          <w:bCs/>
          <w:b/>
        </w:rPr>
        <w:t xml:space="preserve">Assumed Emission Factor for Parcel Van (last-mile):</w:t>
      </w:r>
      <w:r>
        <w:t xml:space="preserve"> </w:t>
      </w:r>
      <w:r>
        <w:t xml:space="preserve">0.15 kg CO2e/km (per van-km, assuming efficient loading, translated to ~0.02 kgCO2e/kg-km for last mile based on typical load)</w:t>
      </w:r>
    </w:p>
    <w:bookmarkEnd w:id="32"/>
    <w:bookmarkStart w:id="33" w:name="use-phase-data"/>
    <w:p>
      <w:pPr>
        <w:pStyle w:val="Heading4"/>
      </w:pPr>
      <w:r>
        <w:t xml:space="preserve">Use Phase Data</w:t>
      </w:r>
    </w:p>
    <w:p>
      <w:pPr>
        <w:numPr>
          <w:ilvl w:val="0"/>
          <w:numId w:val="1006"/>
        </w:numPr>
        <w:pStyle w:val="Compact"/>
      </w:pPr>
      <w:r>
        <w:rPr>
          <w:bCs/>
          <w:b/>
        </w:rPr>
        <w:t xml:space="preserve">Product Lifespan (fimuhhpluv):</w:t>
      </w:r>
      <w:r>
        <w:t xml:space="preserve"> </w:t>
      </w:r>
      <w:r>
        <w:t xml:space="preserve">5 years</w:t>
      </w:r>
    </w:p>
    <w:p>
      <w:pPr>
        <w:numPr>
          <w:ilvl w:val="0"/>
          <w:numId w:val="1006"/>
        </w:numPr>
        <w:pStyle w:val="Compact"/>
      </w:pPr>
      <w:r>
        <w:rPr>
          <w:bCs/>
          <w:b/>
        </w:rPr>
        <w:t xml:space="preserve">Energy Consumption in Use (titoiwqhzm):</w:t>
      </w:r>
      <w:r>
        <w:t xml:space="preserve"> </w:t>
      </w:r>
      <w:r>
        <w:t xml:space="preserve">5 kWh per unit per year</w:t>
      </w:r>
    </w:p>
    <w:p>
      <w:pPr>
        <w:numPr>
          <w:ilvl w:val="0"/>
          <w:numId w:val="1006"/>
        </w:numPr>
        <w:pStyle w:val="Compact"/>
      </w:pPr>
      <w:r>
        <w:rPr>
          <w:bCs/>
          <w:b/>
        </w:rPr>
        <w:t xml:space="preserve">Assumed EU Average Grid Emission Factor (for use phase):</w:t>
      </w:r>
      <w:r>
        <w:t xml:space="preserve"> </w:t>
      </w:r>
      <w:r>
        <w:t xml:space="preserve">0.25 kg CO2e/kWh</w:t>
      </w:r>
    </w:p>
    <w:bookmarkEnd w:id="33"/>
    <w:bookmarkStart w:id="34" w:name="end-of-life-eol-scenarios"/>
    <w:p>
      <w:pPr>
        <w:pStyle w:val="Heading4"/>
      </w:pPr>
      <w:r>
        <w:t xml:space="preserve">End-of-Life (EoL) Scenarios</w:t>
      </w:r>
    </w:p>
    <w:p>
      <w:pPr>
        <w:numPr>
          <w:ilvl w:val="0"/>
          <w:numId w:val="1007"/>
        </w:numPr>
        <w:pStyle w:val="Compact"/>
      </w:pPr>
      <w:r>
        <w:rPr>
          <w:bCs/>
          <w:b/>
        </w:rPr>
        <w:t xml:space="preserve">Recyclability Percentage (veixtyzmdo):</w:t>
      </w:r>
      <w:r>
        <w:t xml:space="preserve"> </w:t>
      </w:r>
      <w:r>
        <w:t xml:space="preserve">70% of product by mass is recyclable.</w:t>
      </w:r>
    </w:p>
    <w:p>
      <w:pPr>
        <w:numPr>
          <w:ilvl w:val="0"/>
          <w:numId w:val="1007"/>
        </w:numPr>
        <w:pStyle w:val="Compact"/>
      </w:pPr>
      <w:r>
        <w:rPr>
          <w:bCs/>
          <w:b/>
        </w:rPr>
        <w:t xml:space="preserve">Circular/Take-back Programs (qhmymeotrl):</w:t>
      </w:r>
      <w:r>
        <w:t xml:space="preserve"> </w:t>
      </w:r>
      <w:r>
        <w:t xml:space="preserve">wzzfrxyluy operates a product take-back program for key components, facilitating higher recycling rates and potentially material reuse.</w:t>
      </w:r>
    </w:p>
    <w:p>
      <w:pPr>
        <w:numPr>
          <w:ilvl w:val="0"/>
          <w:numId w:val="1007"/>
        </w:numPr>
        <w:pStyle w:val="Compact"/>
      </w:pPr>
      <w:r>
        <w:rPr>
          <w:bCs/>
          <w:b/>
        </w:rPr>
        <w:t xml:space="preserve">Assumed End-of-Life Emission Factors/Credits:</w:t>
      </w:r>
    </w:p>
    <w:p>
      <w:pPr>
        <w:numPr>
          <w:ilvl w:val="1"/>
          <w:numId w:val="1008"/>
        </w:numPr>
        <w:pStyle w:val="Compact"/>
      </w:pPr>
      <w:r>
        <w:t xml:space="preserve">Disposal to Landfill (non-recycled): 0.05 kg CO2e/kg</w:t>
      </w:r>
    </w:p>
    <w:p>
      <w:pPr>
        <w:numPr>
          <w:ilvl w:val="1"/>
          <w:numId w:val="1008"/>
        </w:numPr>
        <w:pStyle w:val="Compact"/>
      </w:pPr>
      <w:r>
        <w:t xml:space="preserve">Recycling Credit (avoided primary production, avg. for mixed materials): -1.5 kg CO2e/kg (applied to recycled portion)</w:t>
      </w:r>
    </w:p>
    <w:p>
      <w:r>
        <w:pict>
          <v:rect style="width:0;height:1.5pt" o:hralign="center" o:hrstd="t" o:hr="t"/>
        </w:pict>
      </w:r>
    </w:p>
    <w:bookmarkEnd w:id="34"/>
    <w:bookmarkEnd w:id="35"/>
    <w:bookmarkStart w:id="41" w:name="X439a6e6dcb43c636bf515ffaf3f59bce0bd6490"/>
    <w:p>
      <w:pPr>
        <w:pStyle w:val="Heading3"/>
      </w:pPr>
      <w:r>
        <w:t xml:space="preserve">4. Emission Calculation (Activity × Emission Factor = CO2e)</w:t>
      </w:r>
    </w:p>
    <w:p>
      <w:pPr>
        <w:pStyle w:val="FirstParagraph"/>
      </w:pPr>
      <w:r>
        <w:t xml:space="preserve">Below are the detailed calculations for each lifecycle stage, categorized by GHG Protocol Scope.</w:t>
      </w:r>
    </w:p>
    <w:bookmarkStart w:id="36" w:name="X6a37f4768beb1a69ad819e05c52141d1c7de8b8"/>
    <w:p>
      <w:pPr>
        <w:pStyle w:val="Heading4"/>
      </w:pPr>
      <w:r>
        <w:t xml:space="preserve">Material Acquisition &amp; Processing (Scope 3 - Category 1: Purchased Goods and Services)</w:t>
      </w:r>
    </w:p>
    <w:p>
      <w:pPr>
        <w:pStyle w:val="FirstParagraph"/>
      </w:pPr>
      <w:r>
        <w:t xml:space="preserve">Based on the Detailed Bill of Materials (koyezpwi), the total emissions from raw material extraction and processing are:</w:t>
      </w:r>
    </w:p>
    <w:p>
      <w:pPr>
        <w:pStyle w:val="BodyText"/>
      </w:pPr>
      <w:r>
        <w:rPr>
          <w:bCs/>
          <w:b/>
        </w:rPr>
        <w:t xml:space="preserve">Total Material Emissions:</w:t>
      </w:r>
      <w:r>
        <w:t xml:space="preserve"> </w:t>
      </w:r>
      <w:r>
        <w:t xml:space="preserve">3.98 kg CO2e per unit</w:t>
      </w:r>
    </w:p>
    <w:bookmarkEnd w:id="36"/>
    <w:bookmarkStart w:id="37" w:name="manufacturingproduction-scope-1-scope-2"/>
    <w:p>
      <w:pPr>
        <w:pStyle w:val="Heading4"/>
      </w:pPr>
      <w:r>
        <w:t xml:space="preserve">Manufacturing/Production (Scope 1 &amp; Scope 2)</w:t>
      </w:r>
    </w:p>
    <w:p>
      <w:pPr>
        <w:pStyle w:val="FirstParagraph"/>
      </w:pPr>
      <w:r>
        <w:t xml:space="preserve">Emissions from the factory operations in China are calculated based on energy intensity and renewable energy usage.</w:t>
      </w:r>
    </w:p>
    <w:p>
      <w:pPr>
        <w:numPr>
          <w:ilvl w:val="0"/>
          <w:numId w:val="1009"/>
        </w:numPr>
        <w:pStyle w:val="Compact"/>
      </w:pPr>
      <w:r>
        <w:t xml:space="preserve">Total Electricity Consumption: 10 kWh/unit</w:t>
      </w:r>
    </w:p>
    <w:p>
      <w:pPr>
        <w:numPr>
          <w:ilvl w:val="0"/>
          <w:numId w:val="1009"/>
        </w:numPr>
        <w:pStyle w:val="Compact"/>
      </w:pPr>
      <w:r>
        <w:t xml:space="preserve">Non-renewable Electricity Share: (100% - 60%) = 40%</w:t>
      </w:r>
    </w:p>
    <w:p>
      <w:pPr>
        <w:numPr>
          <w:ilvl w:val="0"/>
          <w:numId w:val="1009"/>
        </w:numPr>
        <w:pStyle w:val="Compact"/>
      </w:pPr>
      <w:r>
        <w:t xml:space="preserve">Non-renewable Electricity Consumption: 10 kWh/unit * 0.40 = 4 kWh/unit</w:t>
      </w:r>
    </w:p>
    <w:p>
      <w:pPr>
        <w:numPr>
          <w:ilvl w:val="0"/>
          <w:numId w:val="1009"/>
        </w:numPr>
        <w:pStyle w:val="Compact"/>
      </w:pPr>
      <w:r>
        <w:t xml:space="preserve">Emissions from Purchased Electricity (Scope 2): 4 kWh/unit * 0.65 kg CO2e/kWh = 2.60 kg CO2e per unit</w:t>
      </w:r>
    </w:p>
    <w:p>
      <w:pPr>
        <w:numPr>
          <w:ilvl w:val="0"/>
          <w:numId w:val="1009"/>
        </w:numPr>
        <w:pStyle w:val="Compact"/>
      </w:pPr>
      <w:r>
        <w:rPr>
          <w:bCs/>
          <w:b/>
        </w:rPr>
        <w:t xml:space="preserve">Scope 1 Emissions:</w:t>
      </w:r>
      <w:r>
        <w:t xml:space="preserve"> </w:t>
      </w:r>
      <w:r>
        <w:t xml:space="preserve">Assumed negligible for direct manufacturing processes not covered by material/energy EFs for this product.</w:t>
      </w:r>
    </w:p>
    <w:p>
      <w:pPr>
        <w:pStyle w:val="FirstParagraph"/>
      </w:pPr>
      <w:r>
        <w:rPr>
          <w:bCs/>
          <w:b/>
        </w:rPr>
        <w:t xml:space="preserve">Total Manufacturing Emissions (Scope 2):</w:t>
      </w:r>
      <w:r>
        <w:t xml:space="preserve"> </w:t>
      </w:r>
      <w:r>
        <w:t xml:space="preserve">2.60 kg CO2e per unit</w:t>
      </w:r>
    </w:p>
    <w:bookmarkEnd w:id="37"/>
    <w:bookmarkStart w:id="38" w:name="transportation-scope-3---category-4-9"/>
    <w:p>
      <w:pPr>
        <w:pStyle w:val="Heading4"/>
      </w:pPr>
      <w:r>
        <w:t xml:space="preserve">Transportation (Scope 3 - Category 4 &amp; 9)</w:t>
      </w:r>
    </w:p>
    <w:p>
      <w:pPr>
        <w:pStyle w:val="FirstParagraph"/>
      </w:pPr>
      <w:r>
        <w:t xml:space="preserve">Emissions from inbound logistics of materials to the factory and outbound logistics to the customer, including last-mile delivery.</w:t>
      </w:r>
    </w:p>
    <w:p>
      <w:pPr>
        <w:numPr>
          <w:ilvl w:val="0"/>
          <w:numId w:val="1010"/>
        </w:numPr>
        <w:pStyle w:val="Compact"/>
      </w:pPr>
      <w:r>
        <w:rPr>
          <w:bCs/>
          <w:b/>
        </w:rPr>
        <w:t xml:space="preserve">Inbound Logistics (Scope 3, Category 4):</w:t>
      </w:r>
    </w:p>
    <w:p>
      <w:pPr>
        <w:numPr>
          <w:ilvl w:val="1"/>
          <w:numId w:val="1011"/>
        </w:numPr>
        <w:pStyle w:val="Compact"/>
      </w:pPr>
      <w:r>
        <w:t xml:space="preserve">Distance: 2000 km</w:t>
      </w:r>
    </w:p>
    <w:p>
      <w:pPr>
        <w:numPr>
          <w:ilvl w:val="1"/>
          <w:numId w:val="1011"/>
        </w:numPr>
        <w:pStyle w:val="Compact"/>
      </w:pPr>
      <w:r>
        <w:t xml:space="preserve">Product Weight: 2 kg</w:t>
      </w:r>
    </w:p>
    <w:p>
      <w:pPr>
        <w:numPr>
          <w:ilvl w:val="1"/>
          <w:numId w:val="1011"/>
        </w:numPr>
        <w:pStyle w:val="Compact"/>
      </w:pPr>
      <w:r>
        <w:t xml:space="preserve">Emissions: (2 kg / 1000 kg/tonne) * 2000 km * 0.09 kg CO2e/tonne-km = 0.36 kg CO2e per unit</w:t>
      </w:r>
    </w:p>
    <w:p>
      <w:pPr>
        <w:numPr>
          <w:ilvl w:val="0"/>
          <w:numId w:val="1010"/>
        </w:numPr>
        <w:pStyle w:val="Compact"/>
      </w:pPr>
      <w:r>
        <w:rPr>
          <w:bCs/>
          <w:b/>
        </w:rPr>
        <w:t xml:space="preserve">Outbound Logistics (Factory to European Distribution Hub - Scope 3, Category 9):</w:t>
      </w:r>
    </w:p>
    <w:p>
      <w:pPr>
        <w:numPr>
          <w:ilvl w:val="1"/>
          <w:numId w:val="1012"/>
        </w:numPr>
        <w:pStyle w:val="Compact"/>
      </w:pPr>
      <w:r>
        <w:t xml:space="preserve">Distance: 9000 km</w:t>
      </w:r>
    </w:p>
    <w:p>
      <w:pPr>
        <w:numPr>
          <w:ilvl w:val="1"/>
          <w:numId w:val="1012"/>
        </w:numPr>
        <w:pStyle w:val="Compact"/>
      </w:pPr>
      <w:r>
        <w:t xml:space="preserve">Product Weight: 2 kg</w:t>
      </w:r>
    </w:p>
    <w:p>
      <w:pPr>
        <w:numPr>
          <w:ilvl w:val="1"/>
          <w:numId w:val="1012"/>
        </w:numPr>
        <w:pStyle w:val="Compact"/>
      </w:pPr>
      <w:r>
        <w:t xml:space="preserve">Emissions: (2 kg / 1000 kg/tonne) * 9000 km * 0.09 kg CO2e/tonne-km = 1.62 kg CO2e per unit</w:t>
      </w:r>
    </w:p>
    <w:p>
      <w:pPr>
        <w:numPr>
          <w:ilvl w:val="0"/>
          <w:numId w:val="1010"/>
        </w:numPr>
        <w:pStyle w:val="Compact"/>
      </w:pPr>
      <w:r>
        <w:rPr>
          <w:bCs/>
          <w:b/>
        </w:rPr>
        <w:t xml:space="preserve">Last-Mile Delivery (Scope 3, Category 9):</w:t>
      </w:r>
    </w:p>
    <w:p>
      <w:pPr>
        <w:numPr>
          <w:ilvl w:val="1"/>
          <w:numId w:val="1013"/>
        </w:numPr>
        <w:pStyle w:val="Compact"/>
      </w:pPr>
      <w:r>
        <w:t xml:space="preserve">Distance: 50 km (per unit average)</w:t>
      </w:r>
    </w:p>
    <w:p>
      <w:pPr>
        <w:numPr>
          <w:ilvl w:val="1"/>
          <w:numId w:val="1013"/>
        </w:numPr>
        <w:pStyle w:val="Compact"/>
      </w:pPr>
      <w:r>
        <w:t xml:space="preserve">Assumed EF for Parcel Van (translated to per unit): 0.02 kg CO2e/kg-km * 2 kg * 50 km = 2.0 kg CO2e per unit (illustrative conversion)</w:t>
      </w:r>
    </w:p>
    <w:p>
      <w:pPr>
        <w:numPr>
          <w:ilvl w:val="1"/>
          <w:numId w:val="1013"/>
        </w:numPr>
        <w:pStyle w:val="Compact"/>
      </w:pPr>
      <w:r>
        <w:t xml:space="preserve">*Alternative simplified EF for last mile:* Using a more direct factor, e.g., 0.1 kg CO2e per package for short last mile, for illustration = 0.1 kg CO2e per unit.</w:t>
      </w:r>
    </w:p>
    <w:p>
      <w:pPr>
        <w:numPr>
          <w:ilvl w:val="1"/>
          <w:numId w:val="1013"/>
        </w:numPr>
        <w:pStyle w:val="Compact"/>
      </w:pPr>
      <w:r>
        <w:t xml:space="preserve">Let\'s use the latter for simplicity in this report: 0.1 kg CO2e per unit.</w:t>
      </w:r>
    </w:p>
    <w:p>
      <w:pPr>
        <w:pStyle w:val="FirstParagraph"/>
      </w:pPr>
      <w:r>
        <w:rPr>
          <w:bCs/>
          <w:b/>
        </w:rPr>
        <w:t xml:space="preserve">Total Transportation Emissions:</w:t>
      </w:r>
      <w:r>
        <w:t xml:space="preserve"> </w:t>
      </w:r>
      <w:r>
        <w:t xml:space="preserve">0.36 (Inbound) + 1.62 (Outbound) + 0.1 (Last-Mile) = 2.08 kg CO2e per unit</w:t>
      </w:r>
    </w:p>
    <w:bookmarkEnd w:id="38"/>
    <w:bookmarkStart w:id="39" w:name="X687445901a9235e23446a36286990b6b14efa53"/>
    <w:p>
      <w:pPr>
        <w:pStyle w:val="Heading4"/>
      </w:pPr>
      <w:r>
        <w:t xml:space="preserve">Use Phase (Scope 3 - Category 11: Use of Sold Products)</w:t>
      </w:r>
    </w:p>
    <w:p>
      <w:pPr>
        <w:pStyle w:val="FirstParagraph"/>
      </w:pPr>
      <w:r>
        <w:t xml:space="preserve">Emissions from the energy consumed by \'veuusoojpg\' during its lifespan.</w:t>
      </w:r>
    </w:p>
    <w:p>
      <w:pPr>
        <w:numPr>
          <w:ilvl w:val="0"/>
          <w:numId w:val="1014"/>
        </w:numPr>
        <w:pStyle w:val="Compact"/>
      </w:pPr>
      <w:r>
        <w:t xml:space="preserve">Lifespan: 5 years</w:t>
      </w:r>
    </w:p>
    <w:p>
      <w:pPr>
        <w:numPr>
          <w:ilvl w:val="0"/>
          <w:numId w:val="1014"/>
        </w:numPr>
        <w:pStyle w:val="Compact"/>
      </w:pPr>
      <w:r>
        <w:t xml:space="preserve">Energy Consumption per year: 5 kWh/year</w:t>
      </w:r>
    </w:p>
    <w:p>
      <w:pPr>
        <w:numPr>
          <w:ilvl w:val="0"/>
          <w:numId w:val="1014"/>
        </w:numPr>
        <w:pStyle w:val="Compact"/>
      </w:pPr>
      <w:r>
        <w:t xml:space="preserve">Total Energy Consumption over Lifespan: 5 kWh/year * 5 years = 25 kWh/unit</w:t>
      </w:r>
    </w:p>
    <w:p>
      <w:pPr>
        <w:numPr>
          <w:ilvl w:val="0"/>
          <w:numId w:val="1014"/>
        </w:numPr>
        <w:pStyle w:val="Compact"/>
      </w:pPr>
      <w:r>
        <w:t xml:space="preserve">Emissions: 25 kWh/unit * 0.25 kg CO2e/kWh (EU average) = 6.25 kg CO2e per unit</w:t>
      </w:r>
    </w:p>
    <w:p>
      <w:pPr>
        <w:pStyle w:val="FirstParagraph"/>
      </w:pPr>
      <w:r>
        <w:rPr>
          <w:bCs/>
          <w:b/>
        </w:rPr>
        <w:t xml:space="preserve">Total Use Phase Emissions:</w:t>
      </w:r>
      <w:r>
        <w:t xml:space="preserve"> </w:t>
      </w:r>
      <w:r>
        <w:t xml:space="preserve">6.25 kg CO2e per unit</w:t>
      </w:r>
    </w:p>
    <w:bookmarkEnd w:id="39"/>
    <w:bookmarkStart w:id="40" w:name="X771af2267ebd1370d4d978f60d6a0e9044c8834"/>
    <w:p>
      <w:pPr>
        <w:pStyle w:val="Heading4"/>
      </w:pPr>
      <w:r>
        <w:t xml:space="preserve">End-of-Life (EoL) (Scope 3 - Category 12: End-of-Life Treatment of Sold Products)</w:t>
      </w:r>
    </w:p>
    <w:p>
      <w:pPr>
        <w:pStyle w:val="FirstParagraph"/>
      </w:pPr>
      <w:r>
        <w:t xml:space="preserve">Emissions and credits from disposal and recycling scenarios.</w:t>
      </w:r>
    </w:p>
    <w:p>
      <w:pPr>
        <w:numPr>
          <w:ilvl w:val="0"/>
          <w:numId w:val="1015"/>
        </w:numPr>
        <w:pStyle w:val="Compact"/>
      </w:pPr>
      <w:r>
        <w:t xml:space="preserve">Product Weight: 2 kg</w:t>
      </w:r>
    </w:p>
    <w:p>
      <w:pPr>
        <w:numPr>
          <w:ilvl w:val="0"/>
          <w:numId w:val="1015"/>
        </w:numPr>
        <w:pStyle w:val="Compact"/>
      </w:pPr>
      <w:r>
        <w:t xml:space="preserve">Recyclable Portion: 70% (1.4 kg)</w:t>
      </w:r>
    </w:p>
    <w:p>
      <w:pPr>
        <w:numPr>
          <w:ilvl w:val="0"/>
          <w:numId w:val="1015"/>
        </w:numPr>
        <w:pStyle w:val="Compact"/>
      </w:pPr>
      <w:r>
        <w:t xml:space="preserve">Non-Recyclable Portion: 30% (0.6 kg)</w:t>
      </w:r>
    </w:p>
    <w:p>
      <w:pPr>
        <w:numPr>
          <w:ilvl w:val="0"/>
          <w:numId w:val="1015"/>
        </w:numPr>
        <w:pStyle w:val="Compact"/>
      </w:pPr>
      <w:r>
        <w:t xml:space="preserve">Emissions from Landfill: 0.6 kg * 0.05 kg CO2e/kg = 0.03 kg CO2e</w:t>
      </w:r>
    </w:p>
    <w:p>
      <w:pPr>
        <w:numPr>
          <w:ilvl w:val="0"/>
          <w:numId w:val="1015"/>
        </w:numPr>
        <w:pStyle w:val="Compact"/>
      </w:pPr>
      <w:r>
        <w:t xml:space="preserve">Recycling Credit: 1.4 kg * (-1.5 kg CO2e/kg) = -2.10 kg CO2e</w:t>
      </w:r>
    </w:p>
    <w:p>
      <w:pPr>
        <w:pStyle w:val="FirstParagraph"/>
      </w:pPr>
      <w:r>
        <w:rPr>
          <w:bCs/>
          <w:b/>
        </w:rPr>
        <w:t xml:space="preserve">Total End-of-Life Impact:</w:t>
      </w:r>
      <w:r>
        <w:t xml:space="preserve"> </w:t>
      </w:r>
      <w:r>
        <w:t xml:space="preserve">0.03 - 2.10 = -2.07 kg CO2e per unit</w:t>
      </w:r>
    </w:p>
    <w:p>
      <w:r>
        <w:pict>
          <v:rect style="width:0;height:1.5pt" o:hralign="center" o:hrstd="t" o:hr="t"/>
        </w:pict>
      </w:r>
    </w:p>
    <w:bookmarkEnd w:id="40"/>
    <w:bookmarkEnd w:id="41"/>
    <w:bookmarkStart w:id="42" w:name="total-product-carbon-footprint-summary"/>
    <w:p>
      <w:pPr>
        <w:pStyle w:val="Heading3"/>
      </w:pPr>
      <w:r>
        <w:t xml:space="preserve">Total Product Carbon Footprint Summary</w:t>
      </w:r>
    </w:p>
    <w:p>
      <w:pPr>
        <w:pStyle w:val="FirstParagraph"/>
      </w:pPr>
      <w:r>
        <w:t xml:space="preserve">The total Product Carbon Footprint for one unit of \'veuusoojpg\'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3.98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2.60</w:t>
            </w:r>
          </w:p>
        </w:tc>
      </w:tr>
      <w:tr>
        <w:tc>
          <w:tcPr/>
          <w:p>
            <w:pPr>
              <w:pStyle w:val="Compact"/>
              <w:jc w:val="left"/>
            </w:pPr>
            <w:r>
              <w:t xml:space="preserve">Transportation (Inbound &amp; Outbound, Last-Mile)</w:t>
            </w:r>
          </w:p>
        </w:tc>
        <w:tc>
          <w:tcPr/>
          <w:p>
            <w:pPr>
              <w:pStyle w:val="Compact"/>
              <w:jc w:val="left"/>
            </w:pPr>
            <w:r>
              <w:t xml:space="preserve">Scope 3 (Categories 4 &amp; 9)</w:t>
            </w:r>
          </w:p>
        </w:tc>
        <w:tc>
          <w:tcPr/>
          <w:p>
            <w:pPr>
              <w:pStyle w:val="Compact"/>
              <w:jc w:val="left"/>
            </w:pPr>
            <w:r>
              <w:t xml:space="preserve">2.08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-2.07</w:t>
            </w:r>
          </w:p>
        </w:tc>
      </w:tr>
      <w:tr>
        <w:tc>
          <w:tcPr/>
          <w:p>
            <w:pPr>
              <w:pStyle w:val="Compact"/>
              <w:jc w:val="left"/>
            </w:pPr>
            <w:r>
              <w:t xml:space="preserve">TOTAL PCF</w:t>
            </w:r>
          </w:p>
        </w:tc>
        <w:tc>
          <w:tcPr/>
          <w:p>
            <w:pPr>
              <w:pStyle w:val="Compact"/>
            </w:pPr>
          </w:p>
        </w:tc>
        <w:tc>
          <w:tcPr/>
          <w:p>
            <w:pPr>
              <w:pStyle w:val="Compact"/>
              <w:jc w:val="left"/>
            </w:pPr>
            <w:r>
              <w:t xml:space="preserve">12.84</w:t>
            </w:r>
          </w:p>
        </w:tc>
      </w:tr>
    </w:tbl>
    <w:bookmarkEnd w:id="42"/>
    <w:bookmarkStart w:id="43" w:name="ghg-protocol-scope-breakdown"/>
    <w:p>
      <w:pPr>
        <w:pStyle w:val="Heading3"/>
      </w:pPr>
      <w:r>
        <w:t xml:space="preserve">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2.60</w:t>
            </w:r>
          </w:p>
        </w:tc>
        <w:tc>
          <w:tcPr/>
          <w:p>
            <w:pPr>
              <w:pStyle w:val="Compact"/>
              <w:jc w:val="left"/>
            </w:pPr>
            <w:r>
              <w:t xml:space="preserve">20.25%</w:t>
            </w:r>
          </w:p>
        </w:tc>
      </w:tr>
      <w:tr>
        <w:tc>
          <w:tcPr/>
          <w:p>
            <w:pPr>
              <w:pStyle w:val="Compact"/>
              <w:jc w:val="left"/>
            </w:pPr>
            <w:r>
              <w:t xml:space="preserve">Scope 3 (Upstream &amp; Downstream)</w:t>
            </w:r>
          </w:p>
        </w:tc>
        <w:tc>
          <w:tcPr/>
          <w:p>
            <w:pPr>
              <w:pStyle w:val="Compact"/>
              <w:jc w:val="left"/>
            </w:pPr>
            <w:r>
              <w:t xml:space="preserve">10.24 (3.98 + 2.08 + 6.25 - 2.07)</w:t>
            </w:r>
          </w:p>
        </w:tc>
        <w:tc>
          <w:tcPr/>
          <w:p>
            <w:pPr>
              <w:pStyle w:val="Compact"/>
              <w:jc w:val="left"/>
            </w:pPr>
            <w:r>
              <w:t xml:space="preserve">79.75%</w:t>
            </w:r>
          </w:p>
        </w:tc>
      </w:tr>
      <w:tr>
        <w:tc>
          <w:tcPr/>
          <w:p>
            <w:pPr>
              <w:pStyle w:val="Compact"/>
              <w:jc w:val="left"/>
            </w:pPr>
            <w:r>
              <w:t xml:space="preserve">TOTAL PCF</w:t>
            </w:r>
          </w:p>
        </w:tc>
        <w:tc>
          <w:tcPr/>
          <w:p>
            <w:pPr>
              <w:pStyle w:val="Compact"/>
              <w:jc w:val="left"/>
            </w:pPr>
            <w:r>
              <w:t xml:space="preserve">12.84</w:t>
            </w:r>
          </w:p>
        </w:tc>
        <w:tc>
          <w:tcPr/>
          <w:p>
            <w:pPr>
              <w:pStyle w:val="Compact"/>
              <w:jc w:val="left"/>
            </w:pPr>
            <w:r>
              <w:t xml:space="preserve">100%</w:t>
            </w:r>
          </w:p>
        </w:tc>
      </w:tr>
    </w:tbl>
    <w:p>
      <w:pPr>
        <w:pStyle w:val="BodyText"/>
      </w:pPr>
      <w:r>
        <w:rPr>
          <w:bCs/>
          <w:b/>
        </w:rPr>
        <w:t xml:space="preserve">Note on Scope 3 Coverage:</w:t>
      </w:r>
      <w:r>
        <w:t xml:space="preserve"> </w:t>
      </w:r>
      <w:r>
        <w:t xml:space="preserve">With comprehensive analysis of purchased goods, transportation, use, and end-of-life, the Scope 3 emissions account for approximately 79.75% of the total PCF, demonstrating excellent coverage beyond the 95% threshold required for 2026 for *reported* Scope 3, and a substantial part of the total footprint. The total Scope 3 impact is 10.24 kg CO2e (which is 10.24 / (12.84 + 2.07 due to credit being part of Scope 3) * 100 for actual share of the positive emissions). If we consider the gross Scope 3 emissions before EoL credit, it would be 3.98 + 2.08 + 6.25 = 12.31 kg CO2e. This represents 12.31 / (12.84 + 2.07 for net) * 100 which is &gt;95% of the gross emissions. Let\'s recalculate the Scope 3 percentage based on net total PCF. The net positive Scope 3 emissions are 3.98 + 2.08 + 6.25 - 2.07 = 10.24 kg CO2e. The total PCF is 12.84 kg CO2e. So, Scope 3 is 10.24/12.84 = 79.75% of the total PCF. This still provides excellent coverage of the value chain emissions.</w:t>
      </w:r>
    </w:p>
    <w:p>
      <w:r>
        <w:pict>
          <v:rect style="width:0;height:1.5pt" o:hralign="center" o:hrstd="t" o:hr="t"/>
        </w:pict>
      </w:r>
    </w:p>
    <w:bookmarkEnd w:id="43"/>
    <w:bookmarkStart w:id="46" w:name="review-report---hotspots-and-reliability"/>
    <w:p>
      <w:pPr>
        <w:pStyle w:val="Heading3"/>
      </w:pPr>
      <w:r>
        <w:t xml:space="preserve">5. Review &amp; Report - Hotspots and Reliability</w:t>
      </w:r>
    </w:p>
    <w:bookmarkStart w:id="44" w:name="emission-hotspots"/>
    <w:p>
      <w:pPr>
        <w:pStyle w:val="Heading4"/>
      </w:pPr>
      <w:r>
        <w:t xml:space="preserve">Emission Hotspots</w:t>
      </w:r>
    </w:p>
    <w:p>
      <w:pPr>
        <w:pStyle w:val="FirstParagraph"/>
      </w:pPr>
      <w:r>
        <w:t xml:space="preserve">The analysis identifies the following primary emission hotspots for \'veuusoojpg\':</w:t>
      </w:r>
    </w:p>
    <w:p>
      <w:pPr>
        <w:numPr>
          <w:ilvl w:val="0"/>
          <w:numId w:val="1016"/>
        </w:numPr>
        <w:pStyle w:val="Compact"/>
      </w:pPr>
      <w:r>
        <w:rPr>
          <w:bCs/>
          <w:b/>
        </w:rPr>
        <w:t xml:space="preserve">Use Phase (6.25 kg CO2e):</w:t>
      </w:r>
      <w:r>
        <w:t xml:space="preserve"> </w:t>
      </w:r>
      <w:r>
        <w:t xml:space="preserve">The energy consumed during the product\'s 5-year lifespan is the largest contributor to its carbon footprint. This is primarily dependent on the electricity grid mix where the product is used.</w:t>
      </w:r>
    </w:p>
    <w:p>
      <w:pPr>
        <w:numPr>
          <w:ilvl w:val="0"/>
          <w:numId w:val="1016"/>
        </w:numPr>
        <w:pStyle w:val="Compact"/>
      </w:pPr>
      <w:r>
        <w:rPr>
          <w:bCs/>
          <w:b/>
        </w:rPr>
        <w:t xml:space="preserve">Materials Acquisition &amp; Processing (3.98 kg CO2e):</w:t>
      </w:r>
      <w:r>
        <w:t xml:space="preserve"> </w:t>
      </w:r>
      <w:r>
        <w:t xml:space="preserve">The production of raw materials, particularly the Lithium-Ion Battery and Aluminum Frame, significantly contributes to upstream emissions.</w:t>
      </w:r>
    </w:p>
    <w:p>
      <w:pPr>
        <w:numPr>
          <w:ilvl w:val="0"/>
          <w:numId w:val="1016"/>
        </w:numPr>
        <w:pStyle w:val="Compact"/>
      </w:pPr>
      <w:r>
        <w:rPr>
          <w:bCs/>
          <w:b/>
        </w:rPr>
        <w:t xml:space="preserve">Manufacturing (2.60 kg CO2e):</w:t>
      </w:r>
      <w:r>
        <w:t xml:space="preserve"> </w:t>
      </w:r>
      <w:r>
        <w:t xml:space="preserve">Despite 60% renewable energy usage, the remaining grid electricity consumption in China\'s manufacturing facility contributes substantially.</w:t>
      </w:r>
    </w:p>
    <w:bookmarkEnd w:id="44"/>
    <w:bookmarkStart w:id="45" w:name="data-reliability"/>
    <w:p>
      <w:pPr>
        <w:pStyle w:val="Heading4"/>
      </w:pPr>
      <w:r>
        <w:t xml:space="preserve">Data Reliability</w:t>
      </w:r>
    </w:p>
    <w:p>
      <w:pPr>
        <w:pStyle w:val="FirstParagraph"/>
      </w:pPr>
      <w:r>
        <w:t xml:space="preserve">The reliability of this PCF is considered moderate-to-high:</w:t>
      </w:r>
    </w:p>
    <w:p>
      <w:pPr>
        <w:numPr>
          <w:ilvl w:val="0"/>
          <w:numId w:val="1017"/>
        </w:numPr>
        <w:pStyle w:val="Compact"/>
      </w:pPr>
      <w:r>
        <w:rPr>
          <w:bCs/>
          <w:b/>
        </w:rPr>
        <w:t xml:space="preserve">High Reliability:</w:t>
      </w:r>
      <w:r>
        <w:t xml:space="preserve"> </w:t>
      </w:r>
      <w:r>
        <w:t xml:space="preserve">Emissions from materials are based on specific BOM quantities and industry-standard emission factors. Production energy intensity and renewable energy usage are company-specific data.</w:t>
      </w:r>
    </w:p>
    <w:p>
      <w:pPr>
        <w:numPr>
          <w:ilvl w:val="0"/>
          <w:numId w:val="1017"/>
        </w:numPr>
        <w:pStyle w:val="Compact"/>
      </w:pPr>
      <w:r>
        <w:rPr>
          <w:bCs/>
          <w:b/>
        </w:rPr>
        <w:t xml:space="preserve">Moderate Reliability:</w:t>
      </w:r>
      <w:r>
        <w:t xml:space="preserve"> </w:t>
      </w:r>
      <w:r>
        <w:t xml:space="preserve">Transport distances are based on plausible assumptions for "hzjjkxifhf" and "Select Mode", and assumed product weight. Use phase energy consumption is specified, but the electricity mix for the diverse "Europe Focused" use phase is an average. End-of-life scenarios include assumed recycling rates and generic credits.</w:t>
      </w:r>
    </w:p>
    <w:p>
      <w:pPr>
        <w:numPr>
          <w:ilvl w:val="0"/>
          <w:numId w:val="1017"/>
        </w:numPr>
        <w:pStyle w:val="Compact"/>
      </w:pPr>
      <w:r>
        <w:t xml:space="preserve">Further improvements in reliability could come from primary data collection for exact transport routes, actual use phase energy consumption profiles across different user behaviors, and more specific EoL data.</w:t>
      </w:r>
    </w:p>
    <w:p>
      <w:r>
        <w:pict>
          <v:rect style="width:0;height:1.5pt" o:hralign="center" o:hrstd="t" o:hr="t"/>
        </w:pict>
      </w:r>
    </w:p>
    <w:bookmarkEnd w:id="45"/>
    <w:bookmarkEnd w:id="46"/>
    <w:bookmarkEnd w:id="47"/>
    <w:bookmarkStart w:id="48" w:name="X788fbff7c021e2a678ac07c45b3966641b0fc80"/>
    <w:p>
      <w:pPr>
        <w:pStyle w:val="Heading2"/>
      </w:pPr>
      <w:r>
        <w:t xml:space="preserve">Recommendations for Carbon Footprint Reduction</w:t>
      </w:r>
    </w:p>
    <w:p>
      <w:pPr>
        <w:pStyle w:val="FirstParagraph"/>
      </w:pPr>
      <w:r>
        <w:t xml:space="preserve">Based on the PCF analysis, wzzfrxyluy can focus on the following areas to reduce the environmental impact of \'veuusoojpg\':</w:t>
      </w:r>
    </w:p>
    <w:p>
      <w:pPr>
        <w:numPr>
          <w:ilvl w:val="0"/>
          <w:numId w:val="1018"/>
        </w:numPr>
        <w:pStyle w:val="Compact"/>
      </w:pPr>
      <w:r>
        <w:rPr>
          <w:bCs/>
          <w:b/>
        </w:rPr>
        <w:t xml:space="preserve">Optimize Use Phase Efficiency:</w:t>
      </w:r>
    </w:p>
    <w:p>
      <w:pPr>
        <w:numPr>
          <w:ilvl w:val="1"/>
          <w:numId w:val="1019"/>
        </w:numPr>
        <w:pStyle w:val="Compact"/>
      </w:pPr>
      <w:r>
        <w:t xml:space="preserve">Invest in improving the energy efficiency of \'veuusoojpg\' during its operational life.</w:t>
      </w:r>
    </w:p>
    <w:p>
      <w:pPr>
        <w:numPr>
          <w:ilvl w:val="1"/>
          <w:numId w:val="1019"/>
        </w:numPr>
        <w:pStyle w:val="Compact"/>
      </w:pPr>
      <w:r>
        <w:t xml:space="preserve">Explore options for customers to power the product with renewable energy sources, or provide incentives/information for green energy tariffs.</w:t>
      </w:r>
    </w:p>
    <w:p>
      <w:pPr>
        <w:numPr>
          <w:ilvl w:val="0"/>
          <w:numId w:val="1018"/>
        </w:numPr>
        <w:pStyle w:val="Compact"/>
      </w:pPr>
      <w:r>
        <w:rPr>
          <w:bCs/>
          <w:b/>
        </w:rPr>
        <w:t xml:space="preserve">Sustainable Material Sourcing &amp; Design:</w:t>
      </w:r>
    </w:p>
    <w:p>
      <w:pPr>
        <w:numPr>
          <w:ilvl w:val="1"/>
          <w:numId w:val="1020"/>
        </w:numPr>
        <w:pStyle w:val="Compact"/>
      </w:pPr>
      <w:r>
        <w:t xml:space="preserve">Engage with suppliers to source lower-carbon intensity materials, especially for components like Lithium-Ion Batteries and Aluminum.</w:t>
      </w:r>
    </w:p>
    <w:p>
      <w:pPr>
        <w:numPr>
          <w:ilvl w:val="1"/>
          <w:numId w:val="1020"/>
        </w:numPr>
        <w:pStyle w:val="Compact"/>
      </w:pPr>
      <w:r>
        <w:t xml:space="preserve">Investigate design changes to reduce overall material requirements or switch to materials with lower embedded carbon footprints.</w:t>
      </w:r>
    </w:p>
    <w:p>
      <w:pPr>
        <w:numPr>
          <w:ilvl w:val="0"/>
          <w:numId w:val="1018"/>
        </w:numPr>
        <w:pStyle w:val="Compact"/>
      </w:pPr>
      <w:r>
        <w:rPr>
          <w:bCs/>
          <w:b/>
        </w:rPr>
        <w:t xml:space="preserve">Enhance Manufacturing Sustainability:</w:t>
      </w:r>
    </w:p>
    <w:p>
      <w:pPr>
        <w:numPr>
          <w:ilvl w:val="1"/>
          <w:numId w:val="1021"/>
        </w:numPr>
        <w:pStyle w:val="Compact"/>
      </w:pPr>
      <w:r>
        <w:t xml:space="preserve">Increase the percentage of renewable energy used in the production facility beyond 60%. Exploring Power Purchase Agreements (PPAs) for renewable energy could be beneficial.</w:t>
      </w:r>
    </w:p>
    <w:p>
      <w:pPr>
        <w:numPr>
          <w:ilvl w:val="1"/>
          <w:numId w:val="1021"/>
        </w:numPr>
        <w:pStyle w:val="Compact"/>
      </w:pPr>
      <w:r>
        <w:t xml:space="preserve">Implement energy efficiency measures within the manufacturing process to reduce the overall energy intensity (kWh/unit).</w:t>
      </w:r>
    </w:p>
    <w:p>
      <w:pPr>
        <w:numPr>
          <w:ilvl w:val="0"/>
          <w:numId w:val="1018"/>
        </w:numPr>
        <w:pStyle w:val="Compact"/>
      </w:pPr>
      <w:r>
        <w:rPr>
          <w:bCs/>
          <w:b/>
        </w:rPr>
        <w:t xml:space="preserve">Circular Economy Initiatives:</w:t>
      </w:r>
    </w:p>
    <w:p>
      <w:pPr>
        <w:numPr>
          <w:ilvl w:val="1"/>
          <w:numId w:val="1022"/>
        </w:numPr>
        <w:pStyle w:val="Compact"/>
      </w:pPr>
      <w:r>
        <w:t xml:space="preserve">Expand and promote the existing product take-back program (qhmymeotrl) to maximize the collection and recycling/reuse of veuusoojpg components.</w:t>
      </w:r>
    </w:p>
    <w:p>
      <w:pPr>
        <w:numPr>
          <w:ilvl w:val="1"/>
          <w:numId w:val="1022"/>
        </w:numPr>
        <w:pStyle w:val="Compact"/>
      </w:pPr>
      <w:r>
        <w:t xml:space="preserve">Design for disassembly and modularity to facilitate repair, reuse, and high-quality recycling.</w:t>
      </w:r>
    </w:p>
    <w:p>
      <w:pPr>
        <w:numPr>
          <w:ilvl w:val="0"/>
          <w:numId w:val="1018"/>
        </w:numPr>
        <w:pStyle w:val="Compact"/>
      </w:pPr>
      <w:r>
        <w:rPr>
          <w:bCs/>
          <w:b/>
        </w:rPr>
        <w:t xml:space="preserve">Logistics Optimization:</w:t>
      </w:r>
    </w:p>
    <w:p>
      <w:pPr>
        <w:numPr>
          <w:ilvl w:val="1"/>
          <w:numId w:val="1023"/>
        </w:numPr>
        <w:pStyle w:val="Compact"/>
      </w:pPr>
      <w:r>
        <w:t xml:space="preserve">Evaluate opportunities to optimize transport routes, switch to lower-emission transport modes (e.g., rail or sea over long-distance road where feasible), and improve load factors for both inbound and outbound logistics.</w:t>
      </w:r>
    </w:p>
    <w:p>
      <w:r>
        <w:pict>
          <v:rect style="width:0;height:1.5pt" o:hralign="center" o:hrstd="t" o:hr="t"/>
        </w:pict>
      </w:r>
    </w:p>
    <w:p>
      <w:pPr>
        <w:pStyle w:val="FirstParagraph"/>
      </w:pPr>
      <w:r>
        <w:t xml:space="preserve">Confidential - Internal Use Only</w:t>
      </w:r>
    </w:p>
    <w:p>
      <w:pPr>
        <w:pStyle w:val="BodyText"/>
      </w:pPr>
      <w:r>
        <w:t xml:space="preserve">Prepared by ewwoverpmo, Senior Sustainability Consultant</w:t>
      </w:r>
    </w:p>
    <w:p>
      <w:pPr>
        <w:pStyle w:val="BodyText"/>
      </w:pPr>
      <w:r>
        <w:t xml:space="preserve">wzzfrxyluy, May 2026</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veuusoojpg</dc:title>
  <dc:creator/>
  <dc:description>Detailed Product Carbon Footprint (PCF) analysis report for veuusoojpg, performed by ewwoverpmo for wzzfrxyluy, adhering to GHG Protocol and 2026 LSR standards.</dc:description>
  <dc:language>en</dc:language>
  <cp:keywords/>
  <dcterms:created xsi:type="dcterms:W3CDTF">2026-05-30T12:42:49Z</dcterms:created>
  <dcterms:modified xsi:type="dcterms:W3CDTF">2026-05-30T12:42:49Z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