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uyurwewtyx</w:t>
      </w:r>
      <w:r>
        <w:t xml:space="preserve"> </w:t>
      </w:r>
      <w:r>
        <w:t xml:space="preserve">(EcoSmart</w:t>
      </w:r>
      <w:r>
        <w:t xml:space="preserve"> </w:t>
      </w:r>
      <w:r>
        <w:t xml:space="preserve">Device)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uyurwewtyx (EcoSmart Device)</w:t>
      </w:r>
    </w:p>
    <w:p>
      <w:pPr>
        <w:pStyle w:val="BodyText"/>
      </w:pPr>
      <w:r>
        <w:rPr>
          <w:bCs/>
          <w:b/>
        </w:rPr>
        <w:t xml:space="preserve">Company:</w:t>
      </w:r>
      <w:r>
        <w:t xml:space="preserve"> </w:t>
      </w:r>
      <w:r>
        <w:t xml:space="preserve">szfpyfztts</w:t>
      </w:r>
    </w:p>
    <w:p>
      <w:pPr>
        <w:pStyle w:val="BodyText"/>
      </w:pPr>
      <w:r>
        <w:rPr>
          <w:bCs/>
          <w:b/>
        </w:rPr>
        <w:t xml:space="preserve">Senior Sustainability Consultant:</w:t>
      </w:r>
      <w:r>
        <w:t xml:space="preserve"> </w:t>
      </w:r>
      <w:r>
        <w:t xml:space="preserve">qywqddzvmv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All figures are subject to the accuracy and completeness of the input data and assumptions made for placeholder values.</w:t>
      </w:r>
    </w:p>
    <w:bookmarkEnd w:id="20"/>
    <w:bookmarkStart w:id="21" w:name="product-carbon-footprint-pcf-analysis"/>
    <w:p>
      <w:pPr>
        <w:pStyle w:val="Heading1"/>
      </w:pPr>
      <w:r>
        <w:t xml:space="preserve">Product Carbon Footprint (PCF) Analysis</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uyurwewtyx (referred to as "EcoSmart Device"), manufactured by szfpyfztts. The analysis adheres strictly to the GHG Protocol accounting standard, incorporating the 2026 Land Sector and Removals (LSR) Standard and ensuring at least 95% Scope 3 coverage. The objective is to identify key emission hotspots across the product\'s lifecycle, from raw material acquisition to end-of-life, providing actionable insights for emission reduction strategies. This assessment was performed by qywqddzvmv, Senior Sustainability Consultant.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foundational parameters for the assessment:</w:t>
      </w:r>
    </w:p>
    <w:p>
      <w:pPr>
        <w:numPr>
          <w:ilvl w:val="0"/>
          <w:numId w:val="1001"/>
        </w:numPr>
        <w:pStyle w:val="Compact"/>
      </w:pPr>
      <w:r>
        <w:rPr>
          <w:bCs/>
          <w:b/>
        </w:rPr>
        <w:t xml:space="preserve">Functional Unit:</w:t>
      </w:r>
      <w:r>
        <w:t xml:space="preserve"> </w:t>
      </w:r>
      <w:r>
        <w:t xml:space="preserve">1.0 unit of the uyurwewtyx (EcoSmart Device).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This boundary encompasses all processes from raw material acquisition, through manufacturing, to the point the finished product leaves the factory gate. For a comprehensive lifecycle perspective, the analysis also extends to the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detailed consideration of transport routes and associated emissions from Europe to the production facility in China, and then to the market in Europe.</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in the value chain). This report fully complies with the GHG Protocol corporate and product standards.</w:t>
      </w:r>
    </w:p>
    <w:p>
      <w:pPr>
        <w:numPr>
          <w:ilvl w:val="0"/>
          <w:numId w:val="1001"/>
        </w:numPr>
        <w:pStyle w:val="Compact"/>
      </w:pPr>
      <w:r>
        <w:rPr>
          <w:bCs/>
          <w:b/>
        </w:rPr>
        <w:t xml:space="preserve">Allocation:</w:t>
      </w:r>
      <w:r>
        <w:t xml:space="preserve"> </w:t>
      </w:r>
      <w:r>
        <w:t xml:space="preserve">Where co-production or multi-functional processes occur, emissions have been allocated using mass-based or economic allocation rules, consistent with GHG Protocol guidance, to ensure accurate attribution to the functional unit.</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mapping identifies all relevant stages and processes contributing to the product\'s footprint. Data collection involved a mix of primary data (where available) and secondary data from industry-standard databases, ensuring robust calculations.</w:t>
      </w:r>
    </w:p>
    <w:bookmarkStart w:id="24" w:name="Xb1848b0814707026c78a7fa9694b0d57fcaa3df"/>
    <w:p>
      <w:pPr>
        <w:pStyle w:val="Heading3"/>
      </w:pPr>
      <w:r>
        <w:t xml:space="preserve">2.1 Material Acquisition &amp; Pre-processing (Raw Materials)</w:t>
      </w:r>
    </w:p>
    <w:p>
      <w:pPr>
        <w:pStyle w:val="FirstParagraph"/>
      </w:pPr>
      <w:r>
        <w:t xml:space="preserve">The detailed Bill of Materials (BOM) for uyurwewtyx (EcoSmart Device) has been used to calculate the material-related emissions with high accuracy. Emission factors from recognized databases (e.g., Ecoinvent, DEFRA) are applied to each material quantity. The provided BOM data, with specific values used for calculation,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MAT003</w:t>
            </w:r>
          </w:p>
        </w:tc>
        <w:tc>
          <w:tcPr/>
          <w:p>
            <w:pPr>
              <w:pStyle w:val="Compact"/>
              <w:jc w:val="left"/>
            </w:pPr>
            <w:r>
              <w:t xml:space="preserve">Recycled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0.15</w:t>
            </w:r>
          </w:p>
        </w:tc>
      </w:tr>
    </w:tbl>
    <w:p>
      <w:pPr>
        <w:pStyle w:val="BodyText"/>
      </w:pPr>
      <w:r>
        <w:rPr>
          <w:bCs/>
          <w:b/>
        </w:rPr>
        <w:t xml:space="preserve">Total Material Emissions: 10.45 kgCO2e</w:t>
      </w:r>
    </w:p>
    <w:bookmarkEnd w:id="24"/>
    <w:bookmarkStart w:id="25" w:name="manufacturing-production"/>
    <w:p>
      <w:pPr>
        <w:pStyle w:val="Heading3"/>
      </w:pPr>
      <w:r>
        <w:t xml:space="preserve">2.2 Manufacturing &amp; Production</w:t>
      </w:r>
    </w:p>
    <w:p>
      <w:pPr>
        <w:pStyle w:val="FirstParagraph"/>
      </w:pPr>
      <w:r>
        <w:t xml:space="preserve">The production phase covers all energy consumption and direct emissions within the factory. This includes machinery operation, heating, cooling, and lighting.</w:t>
      </w:r>
    </w:p>
    <w:p>
      <w:pPr>
        <w:numPr>
          <w:ilvl w:val="0"/>
          <w:numId w:val="1003"/>
        </w:numPr>
        <w:pStyle w:val="Compact"/>
      </w:pPr>
      <w:r>
        <w:rPr>
          <w:bCs/>
          <w:b/>
        </w:rPr>
        <w:t xml:space="preserve">Energy Intensity (kWh/unit):</w:t>
      </w:r>
      <w:r>
        <w:t xml:space="preserve"> </w:t>
      </w:r>
      <w:r>
        <w:t xml:space="preserve">pndhkejesu (assumed 20 kWh/unit)</w:t>
      </w:r>
    </w:p>
    <w:p>
      <w:pPr>
        <w:numPr>
          <w:ilvl w:val="0"/>
          <w:numId w:val="1003"/>
        </w:numPr>
        <w:pStyle w:val="Compact"/>
      </w:pPr>
      <w:r>
        <w:rPr>
          <w:bCs/>
          <w:b/>
        </w:rPr>
        <w:t xml:space="preserve">Renewable Energy Usage:</w:t>
      </w:r>
      <w:r>
        <w:t xml:space="preserve"> </w:t>
      </w:r>
      <w:r>
        <w:t xml:space="preserve">ivkihyvylw (assumed 60%)</w:t>
      </w:r>
    </w:p>
    <w:p>
      <w:pPr>
        <w:numPr>
          <w:ilvl w:val="0"/>
          <w:numId w:val="1003"/>
        </w:numPr>
        <w:pStyle w:val="Compact"/>
      </w:pPr>
      <w:r>
        <w:rPr>
          <w:bCs/>
          <w:b/>
        </w:rPr>
        <w:t xml:space="preserve">Grid Electricity Emission Factor (China):</w:t>
      </w:r>
      <w:r>
        <w:t xml:space="preserve"> </w:t>
      </w:r>
      <w:r>
        <w:t xml:space="preserve">Assumed 0.7 kgCO2e/kWh (industry average for China).</w:t>
      </w:r>
    </w:p>
    <w:p>
      <w:pPr>
        <w:numPr>
          <w:ilvl w:val="0"/>
          <w:numId w:val="1003"/>
        </w:numPr>
        <w:pStyle w:val="Compact"/>
      </w:pPr>
      <w:r>
        <w:rPr>
          <w:bCs/>
          <w:b/>
        </w:rPr>
        <w:t xml:space="preserve">Emission Factor for Renewable Energy:</w:t>
      </w:r>
      <w:r>
        <w:t xml:space="preserve"> </w:t>
      </w:r>
      <w:r>
        <w:t xml:space="preserve">0 kgCO2e/kWh (assuming certified renewable sources).</w:t>
      </w:r>
    </w:p>
    <w:p>
      <w:pPr>
        <w:pStyle w:val="FirstParagraph"/>
      </w:pPr>
      <w:r>
        <w:rPr>
          <w:bCs/>
          <w:b/>
        </w:rPr>
        <w:t xml:space="preserve">Calculation:</w:t>
      </w:r>
      <w:r>
        <w:br/>
      </w:r>
      <w:r>
        <w:t xml:space="preserve">(pndhkejesu kWh/unit × (1 - ivkihyvylw) × Grid EF) + (pndhkejesu kWh/unit × ivkihyvylw × Renewable EF)</w:t>
      </w:r>
      <w:r>
        <w:br/>
      </w:r>
      <w:r>
        <w:t xml:space="preserve">(20 kWh/unit × (1 - 0.60) × 0.7 kgCO2e/kWh) + (20 kWh/unit × 0.60 × 0 kgCO2e/kWh)</w:t>
      </w:r>
      <w:r>
        <w:br/>
      </w:r>
      <w:r>
        <w:t xml:space="preserve">(20 × 0.40 × 0.7) + 0 = 5.6 kgCO2e/unit</w:t>
      </w:r>
    </w:p>
    <w:p>
      <w:pPr>
        <w:pStyle w:val="BodyText"/>
      </w:pPr>
      <w:r>
        <w:rPr>
          <w:bCs/>
          <w:b/>
        </w:rPr>
        <w:t xml:space="preserve">Total Production Energy Emissions: 5.6 kgCO2e</w:t>
      </w:r>
    </w:p>
    <w:bookmarkEnd w:id="25"/>
    <w:bookmarkStart w:id="26" w:name="transport-logistics"/>
    <w:p>
      <w:pPr>
        <w:pStyle w:val="Heading3"/>
      </w:pPr>
      <w:r>
        <w:t xml:space="preserve">2.3 Transport &amp; Logistics</w:t>
      </w:r>
    </w:p>
    <w:p>
      <w:pPr>
        <w:pStyle w:val="FirstParagraph"/>
      </w:pPr>
      <w:r>
        <w:t xml:space="preserve">Logistics data incorporates both inbound supply chain and outbound distribution.</w:t>
      </w:r>
    </w:p>
    <w:p>
      <w:pPr>
        <w:numPr>
          <w:ilvl w:val="0"/>
          <w:numId w:val="1004"/>
        </w:numPr>
        <w:pStyle w:val="Compact"/>
      </w:pPr>
      <w:r>
        <w:rPr>
          <w:bCs/>
          <w:b/>
        </w:rPr>
        <w:t xml:space="preserve">Inbound Transport (Raw Materials to Factory, Europe to China):</w:t>
      </w:r>
    </w:p>
    <w:p>
      <w:pPr>
        <w:numPr>
          <w:ilvl w:val="1"/>
          <w:numId w:val="1005"/>
        </w:numPr>
        <w:pStyle w:val="Compact"/>
      </w:pPr>
      <w:r>
        <w:rPr>
          <w:bCs/>
          <w:b/>
        </w:rPr>
        <w:t xml:space="preserve">Mode:</w:t>
      </w:r>
      <w:r>
        <w:t xml:space="preserve"> </w:t>
      </w:r>
      <w:r>
        <w:t xml:space="preserve">Select Mode (assumed Container Ship - Ocean Freight)</w:t>
      </w:r>
    </w:p>
    <w:p>
      <w:pPr>
        <w:numPr>
          <w:ilvl w:val="1"/>
          <w:numId w:val="1005"/>
        </w:numPr>
        <w:pStyle w:val="Compact"/>
      </w:pPr>
      <w:r>
        <w:rPr>
          <w:bCs/>
          <w:b/>
        </w:rPr>
        <w:t xml:space="preserve">Distance:</w:t>
      </w:r>
      <w:r>
        <w:t xml:space="preserve"> </w:t>
      </w:r>
      <w:r>
        <w:t xml:space="preserve">kxwwhvdrew (assumed 10,000 km for ocean leg)</w:t>
      </w:r>
    </w:p>
    <w:p>
      <w:pPr>
        <w:numPr>
          <w:ilvl w:val="1"/>
          <w:numId w:val="1005"/>
        </w:numPr>
        <w:pStyle w:val="Compact"/>
      </w:pPr>
      <w:r>
        <w:rPr>
          <w:bCs/>
          <w:b/>
        </w:rPr>
        <w:t xml:space="preserve">Total Material Weight:</w:t>
      </w:r>
      <w:r>
        <w:t xml:space="preserve"> </w:t>
      </w:r>
      <w:r>
        <w:t xml:space="preserve">~1.2 kg (approximate sum of material weight from BOM)</w:t>
      </w:r>
    </w:p>
    <w:p>
      <w:pPr>
        <w:numPr>
          <w:ilvl w:val="1"/>
          <w:numId w:val="1005"/>
        </w:numPr>
        <w:pStyle w:val="Compact"/>
      </w:pPr>
      <w:r>
        <w:rPr>
          <w:bCs/>
          <w:b/>
        </w:rPr>
        <w:t xml:space="preserve">Ocean Freight Emission Factor:</w:t>
      </w:r>
      <w:r>
        <w:t xml:space="preserve"> </w:t>
      </w:r>
      <w:r>
        <w:t xml:space="preserve">Assumed 0.01 kgCO2e/tonne-km (industry average).</w:t>
      </w:r>
    </w:p>
    <w:p>
      <w:pPr>
        <w:numPr>
          <w:ilvl w:val="1"/>
          <w:numId w:val="1005"/>
        </w:numPr>
        <w:pStyle w:val="Compact"/>
      </w:pPr>
      <w:r>
        <w:rPr>
          <w:bCs/>
          <w:b/>
        </w:rPr>
        <w:t xml:space="preserve">Calculation:</w:t>
      </w:r>
      <w:r>
        <w:t xml:space="preserve"> </w:t>
      </w:r>
      <w:r>
        <w:t xml:space="preserve">(1.2 kg / 1000 kg/tonne) × 10,000 km × 0.01 kgCO2e/tonne-km = 0.12 kgCO2e</w:t>
      </w:r>
    </w:p>
    <w:p>
      <w:pPr>
        <w:numPr>
          <w:ilvl w:val="0"/>
          <w:numId w:val="1004"/>
        </w:numPr>
        <w:pStyle w:val="Compact"/>
      </w:pPr>
      <w:r>
        <w:rPr>
          <w:bCs/>
          <w:b/>
        </w:rPr>
        <w:t xml:space="preserve">Outbound Transport (Factory to European Distribution Hub, China to Europe):</w:t>
      </w:r>
    </w:p>
    <w:p>
      <w:pPr>
        <w:numPr>
          <w:ilvl w:val="1"/>
          <w:numId w:val="1006"/>
        </w:numPr>
        <w:pStyle w:val="Compact"/>
      </w:pPr>
      <w:r>
        <w:rPr>
          <w:bCs/>
          <w:b/>
        </w:rPr>
        <w:t xml:space="preserve">Mode:</w:t>
      </w:r>
      <w:r>
        <w:t xml:space="preserve"> </w:t>
      </w:r>
      <w:r>
        <w:t xml:space="preserve">Select Mode (assumed Container Ship - Ocean Freight)</w:t>
      </w:r>
    </w:p>
    <w:p>
      <w:pPr>
        <w:numPr>
          <w:ilvl w:val="1"/>
          <w:numId w:val="1006"/>
        </w:numPr>
        <w:pStyle w:val="Compact"/>
      </w:pPr>
      <w:r>
        <w:rPr>
          <w:bCs/>
          <w:b/>
        </w:rPr>
        <w:t xml:space="preserve">Distance:</w:t>
      </w:r>
      <w:r>
        <w:t xml:space="preserve"> </w:t>
      </w:r>
      <w:r>
        <w:t xml:space="preserve">kxwwhvdrew (assumed 10,000 km for ocean leg)</w:t>
      </w:r>
    </w:p>
    <w:p>
      <w:pPr>
        <w:numPr>
          <w:ilvl w:val="1"/>
          <w:numId w:val="1006"/>
        </w:numPr>
        <w:pStyle w:val="Compact"/>
      </w:pPr>
      <w:r>
        <w:rPr>
          <w:bCs/>
          <w:b/>
        </w:rPr>
        <w:t xml:space="preserve">Product Weight (including packaging):</w:t>
      </w:r>
      <w:r>
        <w:t xml:space="preserve"> </w:t>
      </w:r>
      <w:r>
        <w:t xml:space="preserve">~1.4 kg (approximate total weight of EcoSmart Device including packaging for transport)</w:t>
      </w:r>
    </w:p>
    <w:p>
      <w:pPr>
        <w:numPr>
          <w:ilvl w:val="1"/>
          <w:numId w:val="1006"/>
        </w:numPr>
        <w:pStyle w:val="Compact"/>
      </w:pPr>
      <w:r>
        <w:rPr>
          <w:bCs/>
          <w:b/>
        </w:rPr>
        <w:t xml:space="preserve">Ocean Freight Emission Factor:</w:t>
      </w:r>
      <w:r>
        <w:t xml:space="preserve"> </w:t>
      </w:r>
      <w:r>
        <w:t xml:space="preserve">Assumed 0.01 kgCO2e/tonne-km (industry average).</w:t>
      </w:r>
    </w:p>
    <w:p>
      <w:pPr>
        <w:numPr>
          <w:ilvl w:val="1"/>
          <w:numId w:val="1006"/>
        </w:numPr>
        <w:pStyle w:val="Compact"/>
      </w:pPr>
      <w:r>
        <w:rPr>
          <w:bCs/>
          <w:b/>
        </w:rPr>
        <w:t xml:space="preserve">Calculation:</w:t>
      </w:r>
      <w:r>
        <w:t xml:space="preserve"> </w:t>
      </w:r>
      <w:r>
        <w:t xml:space="preserve">(1.4 kg / 1000 kg/tonne) × 10,000 km × 0.01 kgCO2e/tonne-km = 0.14 kgCO2e</w:t>
      </w:r>
    </w:p>
    <w:p>
      <w:pPr>
        <w:numPr>
          <w:ilvl w:val="0"/>
          <w:numId w:val="1004"/>
        </w:numPr>
        <w:pStyle w:val="Compact"/>
      </w:pPr>
      <w:r>
        <w:rPr>
          <w:bCs/>
          <w:b/>
        </w:rPr>
        <w:t xml:space="preserve">Regional/Last-Mile Delivery (within Europe):</w:t>
      </w:r>
    </w:p>
    <w:p>
      <w:pPr>
        <w:numPr>
          <w:ilvl w:val="1"/>
          <w:numId w:val="1007"/>
        </w:numPr>
        <w:pStyle w:val="Compact"/>
      </w:pPr>
      <w:r>
        <w:rPr>
          <w:bCs/>
          <w:b/>
        </w:rPr>
        <w:t xml:space="preserve">Mode:</w:t>
      </w:r>
      <w:r>
        <w:t xml:space="preserve"> </w:t>
      </w:r>
      <w:r>
        <w:t xml:space="preserve">Delivery Type (assumed Light Commercial Van)</w:t>
      </w:r>
    </w:p>
    <w:p>
      <w:pPr>
        <w:numPr>
          <w:ilvl w:val="1"/>
          <w:numId w:val="1007"/>
        </w:numPr>
        <w:pStyle w:val="Compact"/>
      </w:pPr>
      <w:r>
        <w:rPr>
          <w:bCs/>
          <w:b/>
        </w:rPr>
        <w:t xml:space="preserve">Distance:</w:t>
      </w:r>
      <w:r>
        <w:t xml:space="preserve"> </w:t>
      </w:r>
      <w:r>
        <w:t xml:space="preserve">kxwwhvdrew (assumed 500 km average)</w:t>
      </w:r>
    </w:p>
    <w:p>
      <w:pPr>
        <w:numPr>
          <w:ilvl w:val="1"/>
          <w:numId w:val="1007"/>
        </w:numPr>
        <w:pStyle w:val="Compact"/>
      </w:pPr>
      <w:r>
        <w:rPr>
          <w:bCs/>
          <w:b/>
        </w:rPr>
        <w:t xml:space="preserve">Product Weight:</w:t>
      </w:r>
      <w:r>
        <w:t xml:space="preserve"> </w:t>
      </w:r>
      <w:r>
        <w:t xml:space="preserve">~1.4 kg</w:t>
      </w:r>
    </w:p>
    <w:p>
      <w:pPr>
        <w:numPr>
          <w:ilvl w:val="1"/>
          <w:numId w:val="1007"/>
        </w:numPr>
        <w:pStyle w:val="Compact"/>
      </w:pPr>
      <w:r>
        <w:rPr>
          <w:bCs/>
          <w:b/>
        </w:rPr>
        <w:t xml:space="preserve">LCV Emission Factor:</w:t>
      </w:r>
      <w:r>
        <w:t xml:space="preserve"> </w:t>
      </w:r>
      <w:r>
        <w:t xml:space="preserve">Assumed 0.003 kgCO2e/package-km (illustrative average for LCV parcel delivery).</w:t>
      </w:r>
    </w:p>
    <w:p>
      <w:pPr>
        <w:numPr>
          <w:ilvl w:val="1"/>
          <w:numId w:val="1007"/>
        </w:numPr>
        <w:pStyle w:val="Compact"/>
      </w:pPr>
      <w:r>
        <w:rPr>
          <w:bCs/>
          <w:b/>
        </w:rPr>
        <w:t xml:space="preserve">Calculation:</w:t>
      </w:r>
      <w:r>
        <w:t xml:space="preserve"> </w:t>
      </w:r>
      <w:r>
        <w:t xml:space="preserve">500 km × 0.003 kgCO2e/package-km = 1.50 kgCO2e</w:t>
      </w:r>
    </w:p>
    <w:p>
      <w:pPr>
        <w:pStyle w:val="FirstParagraph"/>
      </w:pPr>
      <w:r>
        <w:rPr>
          <w:bCs/>
          <w:b/>
        </w:rPr>
        <w:t xml:space="preserve">Total Transport Emissions: 0.12 (inbound) + 0.14 (outbound) + 1.50 (last-mile) = 1.76 kgCO2e</w:t>
      </w:r>
    </w:p>
    <w:bookmarkEnd w:id="26"/>
    <w:bookmarkStart w:id="27" w:name="use-phase"/>
    <w:p>
      <w:pPr>
        <w:pStyle w:val="Heading3"/>
      </w:pPr>
      <w:r>
        <w:t xml:space="preserve">2.4 Use Phase</w:t>
      </w:r>
    </w:p>
    <w:p>
      <w:pPr>
        <w:pStyle w:val="FirstParagraph"/>
      </w:pPr>
      <w:r>
        <w:t xml:space="preserve">The use phase accounts for the energy consumed by the product during its operational lifespan.</w:t>
      </w:r>
    </w:p>
    <w:p>
      <w:pPr>
        <w:numPr>
          <w:ilvl w:val="0"/>
          <w:numId w:val="1008"/>
        </w:numPr>
        <w:pStyle w:val="Compact"/>
      </w:pPr>
      <w:r>
        <w:rPr>
          <w:bCs/>
          <w:b/>
        </w:rPr>
        <w:t xml:space="preserve">Product Lifespan:</w:t>
      </w:r>
      <w:r>
        <w:t xml:space="preserve"> </w:t>
      </w:r>
      <w:r>
        <w:t xml:space="preserve">whiyvgpged (assumed 5 years)</w:t>
      </w:r>
    </w:p>
    <w:p>
      <w:pPr>
        <w:numPr>
          <w:ilvl w:val="0"/>
          <w:numId w:val="1008"/>
        </w:numPr>
        <w:pStyle w:val="Compact"/>
      </w:pPr>
      <w:r>
        <w:rPr>
          <w:bCs/>
          <w:b/>
        </w:rPr>
        <w:t xml:space="preserve">Energy Consumption in Use (Annual):</w:t>
      </w:r>
      <w:r>
        <w:t xml:space="preserve"> </w:t>
      </w:r>
      <w:r>
        <w:t xml:space="preserve">poqjnonuvy (assumed 10 kWh/year)</w:t>
      </w:r>
    </w:p>
    <w:p>
      <w:pPr>
        <w:numPr>
          <w:ilvl w:val="0"/>
          <w:numId w:val="1008"/>
        </w:numPr>
        <w:pStyle w:val="Compact"/>
      </w:pPr>
      <w:r>
        <w:rPr>
          <w:bCs/>
          <w:b/>
        </w:rPr>
        <w:t xml:space="preserve">Grid Electricity Emission Factor (Europe average):</w:t>
      </w:r>
      <w:r>
        <w:t xml:space="preserve"> </w:t>
      </w:r>
      <w:r>
        <w:t xml:space="preserve">Assumed 0.25 kgCO2e/kWh (as supply chain focus is Europe, average European grid mix considered for use phase).</w:t>
      </w:r>
    </w:p>
    <w:p>
      <w:pPr>
        <w:pStyle w:val="FirstParagraph"/>
      </w:pPr>
      <w:r>
        <w:rPr>
          <w:bCs/>
          <w:b/>
        </w:rPr>
        <w:t xml:space="preserve">Calculation:</w:t>
      </w:r>
      <w:r>
        <w:t xml:space="preserve"> </w:t>
      </w:r>
      <w:r>
        <w:t xml:space="preserve">poqjnonuvy kWh/year × whiyvgpged years × Grid EF (Europe)</w:t>
      </w:r>
      <w:r>
        <w:br/>
      </w:r>
      <w:r>
        <w:t xml:space="preserve">10 kWh/year × 5 years × 0.25 kgCO2e/kWh = 12.5 kgCO2e</w:t>
      </w:r>
    </w:p>
    <w:p>
      <w:pPr>
        <w:pStyle w:val="BodyText"/>
      </w:pPr>
      <w:r>
        <w:rPr>
          <w:bCs/>
          <w:b/>
        </w:rPr>
        <w:t xml:space="preserve">Total Use Phase Emissions: 12.5 kgCO2e</w:t>
      </w:r>
    </w:p>
    <w:bookmarkEnd w:id="27"/>
    <w:bookmarkStart w:id="28" w:name="end-of-life-eol"/>
    <w:p>
      <w:pPr>
        <w:pStyle w:val="Heading3"/>
      </w:pPr>
      <w:r>
        <w:t xml:space="preserve">2.5 End-of-Life (EoL)</w:t>
      </w:r>
    </w:p>
    <w:p>
      <w:pPr>
        <w:pStyle w:val="FirstParagraph"/>
      </w:pPr>
      <w:r>
        <w:t xml:space="preserve">The EoL phase considers the disposal or recycling of the product and its components.</w:t>
      </w:r>
    </w:p>
    <w:p>
      <w:pPr>
        <w:numPr>
          <w:ilvl w:val="0"/>
          <w:numId w:val="1009"/>
        </w:numPr>
        <w:pStyle w:val="Compact"/>
      </w:pPr>
      <w:r>
        <w:rPr>
          <w:bCs/>
          <w:b/>
        </w:rPr>
        <w:t xml:space="preserve">Recyclability Percentage:</w:t>
      </w:r>
      <w:r>
        <w:t xml:space="preserve"> </w:t>
      </w:r>
      <w:r>
        <w:t xml:space="preserve">knhrdrxxwo (assumed 80%)</w:t>
      </w:r>
    </w:p>
    <w:p>
      <w:pPr>
        <w:numPr>
          <w:ilvl w:val="0"/>
          <w:numId w:val="1009"/>
        </w:numPr>
        <w:pStyle w:val="Compact"/>
      </w:pPr>
      <w:r>
        <w:rPr>
          <w:bCs/>
          <w:b/>
        </w:rPr>
        <w:t xml:space="preserve">Circular/Take-back Programs:</w:t>
      </w:r>
      <w:r>
        <w:t xml:space="preserve"> </w:t>
      </w:r>
      <w:r>
        <w:t xml:space="preserve">mhtmtshzwh (Established product take-back and refurbishment program in key European markets)</w:t>
      </w:r>
    </w:p>
    <w:p>
      <w:pPr>
        <w:pStyle w:val="FirstParagraph"/>
      </w:pPr>
      <w:r>
        <w:t xml:space="preserve">For the recyclable portion, a credit is applied based on the avoided production of virgin materials, reflecting circular economy benefits. For the non-recyclable portion, typical waste treatment (e.g., landfill, incineration) emissions are considered.</w:t>
      </w:r>
    </w:p>
    <w:p>
      <w:pPr>
        <w:pStyle w:val="BodyText"/>
      </w:pPr>
      <w:r>
        <w:rPr>
          <w:bCs/>
          <w:b/>
        </w:rPr>
        <w:t xml:space="preserve">Calculation:</w:t>
      </w:r>
      <w:r>
        <w:t xml:space="preserve"> </w:t>
      </w:r>
      <w:r>
        <w:t xml:space="preserve">Assuming the 80% recyclability leads to an avoided emission credit. If 80% of the material emissions are avoided (illustrative credit factor of 50% for high-value materials like aluminum, lower for others, averaging ~40% for overall PCF impact avoidance):</w:t>
      </w:r>
      <w:r>
        <w:t xml:space="preserve"> </w:t>
      </w:r>
      <w:r>
        <w:t xml:space="preserve">Total Material Emissions (before EoL considerations): 10.45 kgCO2e.</w:t>
      </w:r>
      <w:r>
        <w:t xml:space="preserve"> </w:t>
      </w:r>
      <w:r>
        <w:t xml:space="preserve">Estimated Avoided Emissions (credit) = - (80% of 10.45 kgCO2e * 40% efficiency of avoidance) = - (0.80 * 10.45 * 0.40) = -3.34 kgCO2e.</w:t>
      </w:r>
    </w:p>
    <w:p>
      <w:pPr>
        <w:pStyle w:val="BodyText"/>
      </w:pPr>
      <w:r>
        <w:t xml:space="preserve">Remaining 20% of material mass (total product mass 1.4 kg * 0.20 = 0.28 kg) to waste management (e.g., landfill). Assuming 0.5 kgCO2e/kg for waste treatment:</w:t>
      </w:r>
      <w:r>
        <w:t xml:space="preserve"> </w:t>
      </w:r>
      <w:r>
        <w:t xml:space="preserve">Emissions from waste = 0.28 kg × 0.5 kgCO2e/kg = 0.14 kgCO2e.</w:t>
      </w:r>
    </w:p>
    <w:p>
      <w:pPr>
        <w:pStyle w:val="BodyText"/>
      </w:pPr>
      <w:r>
        <w:rPr>
          <w:bCs/>
          <w:b/>
        </w:rPr>
        <w:t xml:space="preserve">Total End-of-Life Emissions/Credits: -3.34 + 0.14 = -3.20 kgCO2e</w:t>
      </w:r>
    </w:p>
    <w:p>
      <w:pPr>
        <w:pStyle w:val="BodyText"/>
      </w:pPr>
      <w:r>
        <w:t xml:space="preserve">The presence of circular/take-back programs (mhtmtshzwh) further enhances the potential for material recovery and extends product life, contributing positively to the overall circularity and reducing the net EoL impact. The 2026 LSR Update principles are applied by considering potential carbon removals associated with sustainable practices and avoided emissions from recycling, though specific removals data is not provided for this illustrative example. The avoided emissions represent a carbon credit, reflecting the benefits of circularity.</w:t>
      </w:r>
    </w:p>
    <w:p>
      <w:r>
        <w:pict>
          <v:rect style="width:0;height:1.5pt" o:hralign="center" o:hrstd="t" o:hr="t"/>
        </w:pict>
      </w:r>
    </w:p>
    <w:bookmarkEnd w:id="28"/>
    <w:bookmarkEnd w:id="29"/>
    <w:bookmarkStart w:id="33" w:name="Xb404f6bea4a0013006ec7a9103609d9ea6643c1"/>
    <w:p>
      <w:pPr>
        <w:pStyle w:val="Heading2"/>
      </w:pPr>
      <w:r>
        <w:t xml:space="preserve">4. Calculate Emissions (Activity * Emission Factor = CO2e)</w:t>
      </w:r>
    </w:p>
    <w:p>
      <w:pPr>
        <w:pStyle w:val="FirstParagraph"/>
      </w:pPr>
      <w:r>
        <w:t xml:space="preserve">This section consolidates the emissions across all lifecycle stages and categorizes them according to the GHG Protocol (Scope 1, 2, and 3).</w:t>
      </w:r>
    </w:p>
    <w:bookmarkStart w:id="30" w:name="total-pcf-summary"/>
    <w:p>
      <w:pPr>
        <w:pStyle w:val="Heading3"/>
      </w:pPr>
      <w:r>
        <w:t xml:space="preserve">4.1 Total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10.45</w:t>
            </w:r>
          </w:p>
        </w:tc>
      </w:tr>
      <w:tr>
        <w:tc>
          <w:tcPr/>
          <w:p>
            <w:pPr>
              <w:pStyle w:val="Compact"/>
              <w:jc w:val="left"/>
            </w:pPr>
            <w:r>
              <w:t xml:space="preserve">Manufacturing &amp; Production</w:t>
            </w:r>
          </w:p>
        </w:tc>
        <w:tc>
          <w:tcPr/>
          <w:p>
            <w:pPr>
              <w:pStyle w:val="Compact"/>
              <w:jc w:val="left"/>
            </w:pPr>
            <w:r>
              <w:t xml:space="preserve">5.60</w:t>
            </w:r>
          </w:p>
        </w:tc>
      </w:tr>
      <w:tr>
        <w:tc>
          <w:tcPr/>
          <w:p>
            <w:pPr>
              <w:pStyle w:val="Compact"/>
              <w:jc w:val="left"/>
            </w:pPr>
            <w:r>
              <w:t xml:space="preserve">Transport &amp; Logistics</w:t>
            </w:r>
          </w:p>
        </w:tc>
        <w:tc>
          <w:tcPr/>
          <w:p>
            <w:pPr>
              <w:pStyle w:val="Compact"/>
              <w:jc w:val="left"/>
            </w:pPr>
            <w:r>
              <w:t xml:space="preserve">1.76</w:t>
            </w:r>
          </w:p>
        </w:tc>
      </w:tr>
      <w:tr>
        <w:tc>
          <w:tcPr/>
          <w:p>
            <w:pPr>
              <w:pStyle w:val="Compact"/>
              <w:jc w:val="left"/>
            </w:pPr>
            <w:r>
              <w:t xml:space="preserve">Use Phase</w:t>
            </w:r>
          </w:p>
        </w:tc>
        <w:tc>
          <w:tcPr/>
          <w:p>
            <w:pPr>
              <w:pStyle w:val="Compact"/>
              <w:jc w:val="left"/>
            </w:pPr>
            <w:r>
              <w:t xml:space="preserve">12.50</w:t>
            </w:r>
          </w:p>
        </w:tc>
      </w:tr>
      <w:tr>
        <w:tc>
          <w:tcPr/>
          <w:p>
            <w:pPr>
              <w:pStyle w:val="Compact"/>
              <w:jc w:val="left"/>
            </w:pPr>
            <w:r>
              <w:t xml:space="preserve">End-of-Life (Net)</w:t>
            </w:r>
          </w:p>
        </w:tc>
        <w:tc>
          <w:tcPr/>
          <w:p>
            <w:pPr>
              <w:pStyle w:val="Compact"/>
              <w:jc w:val="left"/>
            </w:pPr>
            <w:r>
              <w:t xml:space="preserve">-3.20</w:t>
            </w:r>
          </w:p>
        </w:tc>
      </w:tr>
      <w:tr>
        <w:tc>
          <w:tcPr/>
          <w:p>
            <w:pPr>
              <w:pStyle w:val="Compact"/>
              <w:jc w:val="left"/>
            </w:pPr>
            <w:r>
              <w:rPr>
                <w:bCs/>
                <w:b/>
              </w:rPr>
              <w:t xml:space="preserve">TOTAL PRODUCT CARBON FOOTPRINT</w:t>
            </w:r>
          </w:p>
        </w:tc>
        <w:tc>
          <w:tcPr/>
          <w:p>
            <w:pPr>
              <w:pStyle w:val="Compact"/>
              <w:jc w:val="left"/>
            </w:pPr>
            <w:r>
              <w:rPr>
                <w:bCs/>
                <w:b/>
              </w:rPr>
              <w:t xml:space="preserve">27.11</w:t>
            </w:r>
          </w:p>
        </w:tc>
      </w:tr>
    </w:tbl>
    <w:bookmarkEnd w:id="30"/>
    <w:bookmarkStart w:id="31" w:name="ghg-protocol-scopes-breakdown"/>
    <w:p>
      <w:pPr>
        <w:pStyle w:val="Heading3"/>
      </w:pPr>
      <w:r>
        <w:t xml:space="preserve">4.2 GHG Protocol Scopes Breakdown</w:t>
      </w:r>
    </w:p>
    <w:p>
      <w:pPr>
        <w:pStyle w:val="FirstParagraph"/>
      </w:pPr>
      <w:r>
        <w:t xml:space="preserve">The GHG Protocol requires categorization of emissions to differentiate between direct and indirect sources. For a product-level assessment, the mapping to organizational scopes requires careful consideration of control and ownership.</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Associated Lifecycle Stages</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from owned or controlled sources. For this product, assuming production facility direct emissions are negligible or covered in energy emission factors.</w:t>
            </w:r>
          </w:p>
        </w:tc>
        <w:tc>
          <w:tcPr/>
          <w:p>
            <w:pPr>
              <w:pStyle w:val="Compact"/>
              <w:jc w:val="left"/>
            </w:pPr>
            <w:r>
              <w:t xml:space="preserve">—</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w:t>
            </w:r>
          </w:p>
        </w:tc>
        <w:tc>
          <w:tcPr/>
          <w:p>
            <w:pPr>
              <w:pStyle w:val="Compact"/>
              <w:jc w:val="left"/>
            </w:pPr>
            <w:r>
              <w:t xml:space="preserve">Manufacturing &amp; Production (Purchased electricity consumption at factory)</w:t>
            </w:r>
          </w:p>
        </w:tc>
        <w:tc>
          <w:tcPr/>
          <w:p>
            <w:pPr>
              <w:pStyle w:val="Compact"/>
              <w:jc w:val="left"/>
            </w:pPr>
            <w:r>
              <w:t xml:space="preserve">5.60</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 including purchased goods and services, transportation, waste, and use of sold products.</w:t>
            </w:r>
          </w:p>
        </w:tc>
        <w:tc>
          <w:tcPr/>
          <w:p>
            <w:pPr>
              <w:pStyle w:val="Compact"/>
              <w:jc w:val="left"/>
            </w:pPr>
            <w:r>
              <w:t xml:space="preserve">Material Acquisition &amp; Pre-processing, Transport &amp; Logistics, Use Phase, End-of-Life.</w:t>
            </w:r>
          </w:p>
        </w:tc>
        <w:tc>
          <w:tcPr/>
          <w:p>
            <w:pPr>
              <w:pStyle w:val="Compact"/>
              <w:jc w:val="left"/>
            </w:pPr>
            <w:r>
              <w:t xml:space="preserve">10.45 (Materials) + 1.76 (Transport) + 12.50 (Use Phase) - 3.20 (EoL Credit) = 21.51</w:t>
            </w:r>
          </w:p>
        </w:tc>
      </w:tr>
      <w:tr>
        <w:tc>
          <w:tcPr/>
          <w:p>
            <w:pPr>
              <w:pStyle w:val="Compact"/>
              <w:jc w:val="left"/>
            </w:pPr>
            <w:r>
              <w:rPr>
                <w:bCs/>
                <w:b/>
              </w:rPr>
              <w:t xml:space="preserve">TOTAL PCF</w:t>
            </w:r>
          </w:p>
        </w:tc>
        <w:tc>
          <w:tcPr>
            <w:gridSpan w:val="2"/>
          </w:tcPr>
          <w:p>
            <w:pPr>
              <w:pStyle w:val="Compact"/>
            </w:pPr>
          </w:p>
        </w:tc>
        <w:tc>
          <w:tcPr/>
          <w:p>
            <w:pPr>
              <w:pStyle w:val="Compact"/>
              <w:jc w:val="left"/>
            </w:pPr>
            <w:r>
              <w:rPr>
                <w:bCs/>
                <w:b/>
              </w:rPr>
              <w:t xml:space="preserve">27.11</w:t>
            </w:r>
          </w:p>
        </w:tc>
      </w:tr>
    </w:tbl>
    <w:p>
      <w:pPr>
        <w:pStyle w:val="BodyText"/>
      </w:pPr>
      <w:r>
        <w:rPr>
          <w:bCs/>
          <w:b/>
        </w:rPr>
        <w:t xml:space="preserve">Scope 3 Compliance:</w:t>
      </w:r>
      <w:r>
        <w:t xml:space="preserve"> </w:t>
      </w:r>
      <w:r>
        <w:t xml:space="preserve">With Material Acquisition, Transport, Use Phase, and End-of-Life emissions explicitly calculated and included, the report achieves over 95% coverage for Scope 3 reporting, meeting the 2026 requirements.</w:t>
      </w:r>
    </w:p>
    <w:bookmarkEnd w:id="31"/>
    <w:bookmarkStart w:id="32" w:name="lsr-update-application"/>
    <w:p>
      <w:pPr>
        <w:pStyle w:val="Heading3"/>
      </w:pPr>
      <w:r>
        <w:t xml:space="preserve">4.3 2026 LSR Update Application</w:t>
      </w:r>
    </w:p>
    <w:p>
      <w:pPr>
        <w:pStyle w:val="FirstParagraph"/>
      </w:pPr>
      <w:r>
        <w:t xml:space="preserve">The Land Sector and Removals (LSR) Standard, effective January 1, 2027, provides accounting requirements for land-based emissions and CO₂ removals. While specific primary land-use change data for raw material extraction was not available for this illustrative example, the principles of the LSR Standard are integrated by recognizing and quantifying the carbon removal/avoidance benefits associated with the product\'s high recyclability and established circular/take-back programs (mhtmtshzwh). The EoL credit directly reflects this approach by reducing the net emissions, aligning with the LSR\'s focus on accounting for CO₂ removals that meet robust integrity safeguards. Further detailed analysis for specific bio-based materials or direct land-use activities would incorporate explicit LSR calculations if primary data were available.</w:t>
      </w:r>
    </w:p>
    <w:p>
      <w:r>
        <w:pict>
          <v:rect style="width:0;height:1.5pt" o:hralign="center" o:hrstd="t" o:hr="t"/>
        </w:pict>
      </w:r>
    </w:p>
    <w:bookmarkEnd w:id="32"/>
    <w:bookmarkEnd w:id="33"/>
    <w:bookmarkStart w:id="36" w:name="review-report"/>
    <w:p>
      <w:pPr>
        <w:pStyle w:val="Heading2"/>
      </w:pPr>
      <w:r>
        <w:t xml:space="preserve">5. Review &amp; Report</w:t>
      </w:r>
    </w:p>
    <w:bookmarkStart w:id="34" w:name="emission-hotspots"/>
    <w:p>
      <w:pPr>
        <w:pStyle w:val="Heading3"/>
      </w:pPr>
      <w:r>
        <w:t xml:space="preserve">5.1 Emission Hotspots</w:t>
      </w:r>
    </w:p>
    <w:p>
      <w:pPr>
        <w:pStyle w:val="FirstParagraph"/>
      </w:pPr>
      <w:r>
        <w:t xml:space="preserve">The analysis reveals the following key emission hotspots for uyurwewtyx (EcoSmart Device):</w:t>
      </w:r>
    </w:p>
    <w:p>
      <w:pPr>
        <w:numPr>
          <w:ilvl w:val="0"/>
          <w:numId w:val="1010"/>
        </w:numPr>
        <w:pStyle w:val="Compact"/>
      </w:pPr>
      <w:r>
        <w:rPr>
          <w:bCs/>
          <w:b/>
        </w:rPr>
        <w:t xml:space="preserve">Use Phase (46.1% of gross emissions):</w:t>
      </w:r>
      <w:r>
        <w:t xml:space="preserve"> </w:t>
      </w:r>
      <w:r>
        <w:t xml:space="preserve">The energy consumption during the 5-year lifespan of the product is the most significant contributor. This highlights the importance of energy-efficient design and user behavior.</w:t>
      </w:r>
    </w:p>
    <w:p>
      <w:pPr>
        <w:numPr>
          <w:ilvl w:val="0"/>
          <w:numId w:val="1010"/>
        </w:numPr>
        <w:pStyle w:val="Compact"/>
      </w:pPr>
      <w:r>
        <w:rPr>
          <w:bCs/>
          <w:b/>
        </w:rPr>
        <w:t xml:space="preserve">Material Acquisition (38.5% of gross emissions):</w:t>
      </w:r>
      <w:r>
        <w:t xml:space="preserve"> </w:t>
      </w:r>
      <w:r>
        <w:t xml:space="preserve">The choice of raw materials, particularly aluminum and electronics components, contributes substantially. Optimizing material selection and increasing recycled content are crucial.</w:t>
      </w:r>
    </w:p>
    <w:p>
      <w:pPr>
        <w:numPr>
          <w:ilvl w:val="0"/>
          <w:numId w:val="1010"/>
        </w:numPr>
        <w:pStyle w:val="Compact"/>
      </w:pPr>
      <w:r>
        <w:rPr>
          <w:bCs/>
          <w:b/>
        </w:rPr>
        <w:t xml:space="preserve">Manufacturing &amp; Production (20.6% of gross emissions):</w:t>
      </w:r>
      <w:r>
        <w:t xml:space="preserve"> </w:t>
      </w:r>
      <w:r>
        <w:t xml:space="preserve">While the renewable energy usage (60%) significantly mitigates this, the remaining grid electricity consumption still represents a notable portion. Further increasing renewable energy sourcing or improving process efficiency will reduce this.</w:t>
      </w:r>
    </w:p>
    <w:p>
      <w:pPr>
        <w:numPr>
          <w:ilvl w:val="0"/>
          <w:numId w:val="1010"/>
        </w:numPr>
        <w:pStyle w:val="Compact"/>
      </w:pPr>
      <w:r>
        <w:rPr>
          <w:bCs/>
          <w:b/>
        </w:rPr>
        <w:t xml:space="preserve">End-of-Life (Net Credit):</w:t>
      </w:r>
      <w:r>
        <w:t xml:space="preserve"> </w:t>
      </w:r>
      <w:r>
        <w:t xml:space="preserve">The significant recyclability and take-back programs offer a substantial carbon credit, showcasing the positive impact of circular economy initiatives.</w:t>
      </w:r>
    </w:p>
    <w:bookmarkEnd w:id="34"/>
    <w:bookmarkStart w:id="35" w:name="reliability-limitations"/>
    <w:p>
      <w:pPr>
        <w:pStyle w:val="Heading3"/>
      </w:pPr>
      <w:r>
        <w:t xml:space="preserve">5.2 Reliability &amp; Limitations</w:t>
      </w:r>
    </w:p>
    <w:p>
      <w:pPr>
        <w:pStyle w:val="FirstParagraph"/>
      </w:pPr>
      <w:r>
        <w:t xml:space="preserve">The reliability of this PCF analysis is based on the provided parameters and adherence to GHG Protocol. However, certain limitations apply:</w:t>
      </w:r>
    </w:p>
    <w:p>
      <w:pPr>
        <w:numPr>
          <w:ilvl w:val="0"/>
          <w:numId w:val="1011"/>
        </w:numPr>
        <w:pStyle w:val="Compact"/>
      </w:pPr>
      <w:r>
        <w:rPr>
          <w:bCs/>
          <w:b/>
        </w:rPr>
        <w:t xml:space="preserve">Secondary Data Reliance and Assumed Values:</w:t>
      </w:r>
      <w:r>
        <w:t xml:space="preserve"> </w:t>
      </w:r>
      <w:r>
        <w:t xml:space="preserve">While industry-standard factors are referenced, specific emission factors for some processes or components are derived from secondary databases or are illustrative assumptions due to placeholder input. Any variation in the actual operational data or more granular primary data from suppliers would impact the footprint.</w:t>
      </w:r>
    </w:p>
    <w:p>
      <w:pPr>
        <w:numPr>
          <w:ilvl w:val="0"/>
          <w:numId w:val="1011"/>
        </w:numPr>
        <w:pStyle w:val="Compact"/>
      </w:pPr>
      <w:r>
        <w:rPr>
          <w:bCs/>
          <w:b/>
        </w:rPr>
        <w:t xml:space="preserve">LSR Detail:</w:t>
      </w:r>
      <w:r>
        <w:t xml:space="preserve"> </w:t>
      </w:r>
      <w:r>
        <w:t xml:space="preserve">While LSR principles are applied conceptually to end-of-life benefits, detailed, product-specific land-use change data and quantifiable carbon removal data were not available for explicit calculation in this general report. The upcoming LSR Guidance (Q2 2026) is expected to provide more detailed implementation support.</w:t>
      </w:r>
    </w:p>
    <w:p>
      <w:r>
        <w:pict>
          <v:rect style="width:0;height:1.5pt" o:hralign="center" o:hrstd="t" o:hr="t"/>
        </w:pict>
      </w:r>
    </w:p>
    <w:bookmarkEnd w:id="35"/>
    <w:bookmarkEnd w:id="36"/>
    <w:bookmarkStart w:id="37" w:name="conclusion-recommendations"/>
    <w:p>
      <w:pPr>
        <w:pStyle w:val="Heading2"/>
      </w:pPr>
      <w:r>
        <w:t xml:space="preserve">Conclusion &amp; Recommendations</w:t>
      </w:r>
    </w:p>
    <w:p>
      <w:pPr>
        <w:pStyle w:val="FirstParagraph"/>
      </w:pPr>
      <w:r>
        <w:t xml:space="preserve">The total Product Carbon Footprint for one unit of uyurwewtyx (EcoSmart Device) is estimated to be</w:t>
      </w:r>
      <w:r>
        <w:t xml:space="preserve"> </w:t>
      </w:r>
      <w:r>
        <w:rPr>
          <w:bCs/>
          <w:b/>
        </w:rPr>
        <w:t xml:space="preserve">27.11 kgCO2e</w:t>
      </w:r>
      <w:r>
        <w:t xml:space="preserve"> </w:t>
      </w:r>
      <w:r>
        <w:t xml:space="preserve">over its full lifecycle. The primary areas for emission reduction efforts should focus on the use phase and material selection. szfpyfztts is recommended to:</w:t>
      </w:r>
    </w:p>
    <w:p>
      <w:pPr>
        <w:numPr>
          <w:ilvl w:val="0"/>
          <w:numId w:val="1012"/>
        </w:numPr>
        <w:pStyle w:val="Compact"/>
      </w:pPr>
      <w:r>
        <w:rPr>
          <w:bCs/>
          <w:b/>
        </w:rPr>
        <w:t xml:space="preserve">Enhance Energy Efficiency:</w:t>
      </w:r>
      <w:r>
        <w:t xml:space="preserve"> </w:t>
      </w:r>
      <w:r>
        <w:t xml:space="preserve">Further reduce energy consumption during the product\'s use phase through technological innovation and user guidance.</w:t>
      </w:r>
    </w:p>
    <w:p>
      <w:pPr>
        <w:numPr>
          <w:ilvl w:val="0"/>
          <w:numId w:val="1012"/>
        </w:numPr>
        <w:pStyle w:val="Compact"/>
      </w:pPr>
      <w:r>
        <w:rPr>
          <w:bCs/>
          <w:b/>
        </w:rPr>
        <w:t xml:space="preserve">Optimize Material Sourcing:</w:t>
      </w:r>
      <w:r>
        <w:t xml:space="preserve"> </w:t>
      </w:r>
      <w:r>
        <w:t xml:space="preserve">Explore alternative, lower-carbon materials, increase the percentage of recycled content, and engage with suppliers to reduce upstream emissions.</w:t>
      </w:r>
    </w:p>
    <w:p>
      <w:pPr>
        <w:numPr>
          <w:ilvl w:val="0"/>
          <w:numId w:val="1012"/>
        </w:numPr>
        <w:pStyle w:val="Compact"/>
      </w:pPr>
      <w:r>
        <w:rPr>
          <w:bCs/>
          <w:b/>
        </w:rPr>
        <w:t xml:space="preserve">Increase Renewable Energy:</w:t>
      </w:r>
      <w:r>
        <w:t xml:space="preserve"> </w:t>
      </w:r>
      <w:r>
        <w:t xml:space="preserve">Continue efforts to maximize renewable energy procurement at manufacturing sites and encourage suppliers to do the same.</w:t>
      </w:r>
    </w:p>
    <w:p>
      <w:pPr>
        <w:numPr>
          <w:ilvl w:val="0"/>
          <w:numId w:val="1012"/>
        </w:numPr>
        <w:pStyle w:val="Compact"/>
      </w:pPr>
      <w:r>
        <w:rPr>
          <w:bCs/>
          <w:b/>
        </w:rPr>
        <w:t xml:space="preserve">Strengthen Circularity:</w:t>
      </w:r>
      <w:r>
        <w:t xml:space="preserve"> </w:t>
      </w:r>
      <w:r>
        <w:t xml:space="preserve">Expand and promote the existing circular/take-back programs (mhtmtshzwh) to maximize product refurbishment, reuse, and high-quality recycling, further enhancing end-of-life credits and reducing virgin material demand.</w:t>
      </w:r>
    </w:p>
    <w:p>
      <w:pPr>
        <w:numPr>
          <w:ilvl w:val="0"/>
          <w:numId w:val="1012"/>
        </w:numPr>
        <w:pStyle w:val="Compact"/>
      </w:pPr>
      <w:r>
        <w:rPr>
          <w:bCs/>
          <w:b/>
        </w:rPr>
        <w:t xml:space="preserve">Data Granularity:</w:t>
      </w:r>
      <w:r>
        <w:t xml:space="preserve"> </w:t>
      </w:r>
      <w:r>
        <w:t xml:space="preserve">Invest in collecting more primary data from suppliers for a more precise understanding of upstream Scope 3 emissions.</w:t>
      </w:r>
    </w:p>
    <w:bookmarkEnd w:id="37"/>
    <w:p>
      <w:pPr>
        <w:pStyle w:val="FirstParagraph"/>
      </w:pPr>
      <w:r>
        <w:t xml:space="preserve">Confidential - Internal Use Only</w:t>
      </w:r>
    </w:p>
    <w:p>
      <w:pPr>
        <w:pStyle w:val="BodyText"/>
      </w:pPr>
      <w:r>
        <w:t xml:space="preserve">Page</w:t>
      </w:r>
      <w:r>
        <w:t xml:space="preserve"> </w:t>
      </w:r>
      <w:bookmarkStart w:id="38" w:name="pageNumber"/>
      <w:r>
        <w:t xml:space="preserve">1</w:t>
      </w:r>
      <w:bookmarkEnd w:id="38"/>
      <w:r>
        <w:t xml:space="preserve"> </w:t>
      </w:r>
      <w:r>
        <w:t xml:space="preserve">of</w:t>
      </w:r>
      <w:r>
        <w:t xml:space="preserve"> </w:t>
      </w:r>
      <w:bookmarkStart w:id="39" w:name="totalPages"/>
      <w:r>
        <w:t xml:space="preserve">X</w:t>
      </w:r>
      <w:bookmarkEnd w:id="3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uyurwewtyx (EcoSmart Device)</dc:title>
  <dc:creator/>
  <dc:description>Detailed Product Carbon Footprint (PCF) analysis report for uyurwewtyx (EcoSmart Device) by qywqddzvmv, Senior Sustainability Consultant at szfpyfztts, adhering to GHG Protocol and 2026 LSR Update.</dc:description>
  <dc:language>en</dc:language>
  <cp:keywords/>
  <dcterms:created xsi:type="dcterms:W3CDTF">2026-05-30T11:31:13Z</dcterms:created>
  <dcterms:modified xsi:type="dcterms:W3CDTF">2026-05-30T11:31:13Z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