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uxqifgurvz</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product-uxqifgurvz"/>
    <w:p>
      <w:pPr>
        <w:pStyle w:val="Heading1"/>
      </w:pPr>
      <w:r>
        <w:t xml:space="preserve">Product: uxqifgurvz</w:t>
      </w:r>
    </w:p>
    <w:p>
      <w:pPr>
        <w:pStyle w:val="FirstParagraph"/>
      </w:pPr>
      <w:r>
        <w:rPr>
          <w:bCs/>
          <w:b/>
        </w:rPr>
        <w:t xml:space="preserve">Company:</w:t>
      </w:r>
      <w:r>
        <w:t xml:space="preserve"> </w:t>
      </w:r>
      <w:r>
        <w:t xml:space="preserve">kigzzurgyg</w:t>
      </w:r>
    </w:p>
    <w:p>
      <w:pPr>
        <w:pStyle w:val="BodyText"/>
      </w:pPr>
      <w:r>
        <w:rPr>
          <w:bCs/>
          <w:b/>
        </w:rPr>
        <w:t xml:space="preserve">Senior Sustainability Consultant:</w:t>
      </w:r>
      <w:r>
        <w:t xml:space="preserve"> </w:t>
      </w:r>
      <w:r>
        <w:t xml:space="preserve">pdlvrjppji</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conditions and evolving methodologies may impact results.</w:t>
      </w:r>
    </w:p>
    <w:bookmarkEnd w:id="21"/>
    <w:bookmarkStart w:id="22" w:name="X2e92c02262f2f85fd386df0afc7e734e2cedc15"/>
    <w:p>
      <w:pPr>
        <w:pStyle w:val="Heading1"/>
      </w:pPr>
      <w:r>
        <w:t xml:space="preserve">Product Carbon Footprint Analysis: uxqifgurvz</w:t>
      </w:r>
    </w:p>
    <w:p>
      <w:pPr>
        <w:pStyle w:val="FirstParagraph"/>
      </w:pPr>
      <w:r>
        <w:t xml:space="preserve">Generated Date: May 27,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uxqifgurvz, manufactured by kigzzurgyg. Conducted by Senior Sustainability Consultant pdlvrjppji, this assessment adheres strictly to the GHG Protocol, including the 2026 Land Sector and Removals (LSR) Standard, and aims for over 95% Scope 3 coverage. The analysis maps the product\'s lifecycle, quantifies greenhouse gas emissions across material acquisition, manufacturing, transportation, use, and end-of-life phases, identifying key emission hotspots and providing a foundational understanding for targeted emission reduction strategies.</w:t>
      </w:r>
    </w:p>
    <w:bookmarkEnd w:id="23"/>
    <w:p>
      <w:r>
        <w:pict>
          <v:rect style="width:0;height:1.5pt" o:hralign="center" o:hrstd="t" o:hr="t"/>
        </w:pict>
      </w:r>
    </w:p>
    <w:bookmarkStart w:id="24" w:name="define-scope"/>
    <w:p>
      <w:pPr>
        <w:pStyle w:val="Heading2"/>
      </w:pPr>
      <w:r>
        <w:t xml:space="preserve">1. Define Scope</w:t>
      </w:r>
    </w:p>
    <w:p>
      <w:pPr>
        <w:pStyle w:val="FirstParagraph"/>
      </w:pPr>
      <w:r>
        <w:t xml:space="preserve">The scope of this Product Carbon Footprint (PCF) analysis for uxqifgurvz is defined as follows:</w:t>
      </w:r>
    </w:p>
    <w:p>
      <w:pPr>
        <w:numPr>
          <w:ilvl w:val="0"/>
          <w:numId w:val="1001"/>
        </w:numPr>
        <w:pStyle w:val="Compact"/>
      </w:pPr>
      <w:r>
        <w:rPr>
          <w:bCs/>
          <w:b/>
        </w:rPr>
        <w:t xml:space="preserve">Functional Unit:</w:t>
      </w:r>
      <w:r>
        <w:t xml:space="preserve"> </w:t>
      </w:r>
      <w:r>
        <w:t xml:space="preserve">1.0 unit of uxqifgurvz.</w:t>
      </w:r>
    </w:p>
    <w:p>
      <w:pPr>
        <w:numPr>
          <w:ilvl w:val="0"/>
          <w:numId w:val="1001"/>
        </w:numPr>
        <w:pStyle w:val="Compact"/>
      </w:pPr>
      <w:r>
        <w:rPr>
          <w:bCs/>
          <w:b/>
        </w:rPr>
        <w:t xml:space="preserve">System Boundary:</w:t>
      </w:r>
      <w:r>
        <w:t xml:space="preserve"> </w:t>
      </w:r>
      <w:r>
        <w:t xml:space="preserve">Cradle-to-gate (factory_gate), encompassing raw material extraction, processing, manufacturing, and all transportation up to the point of the finished product leaving the factory gate. The use phase and end-of-life are also included as per user requirements for a more comprehensive assessment, effectively extending to a "cradle-to-grave" approach for selected impact categories.</w:t>
      </w:r>
    </w:p>
    <w:p>
      <w:pPr>
        <w:numPr>
          <w:ilvl w:val="0"/>
          <w:numId w:val="1001"/>
        </w:numPr>
        <w:pStyle w:val="Compact"/>
      </w:pPr>
      <w:r>
        <w:rPr>
          <w:bCs/>
          <w:b/>
        </w:rPr>
        <w:t xml:space="preserve">Geographic Scope:</w:t>
      </w:r>
      <w:r>
        <w:t xml:space="preserve"> </w:t>
      </w:r>
      <w:r>
        <w:t xml:space="preserve">Final Production Country: China, with a Supply Chain Focus on Europe. This implies that production electricity mixes and local transportation emission factors for China are considered, while upstream material sourcing and intermediate transport predominantly reflect European supply chain characteristics.</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(indirect emissions from purchased energy), and Scope 3 (all other indirect emissions in the value chain, both upstream and downstream). The analysis incorporates the principles of the 2026 Land Sector and Removals (LSR) Standard where applicable for land use and carbon removal impacts.</w:t>
      </w:r>
    </w:p>
    <w:p>
      <w:pPr>
        <w:numPr>
          <w:ilvl w:val="0"/>
          <w:numId w:val="1001"/>
        </w:numPr>
        <w:pStyle w:val="Compact"/>
      </w:pPr>
      <w:r>
        <w:rPr>
          <w:bCs/>
          <w:b/>
        </w:rPr>
        <w:t xml:space="preserve">Allocation:</w:t>
      </w:r>
      <w:r>
        <w:t xml:space="preserve"> </w:t>
      </w:r>
      <w:r>
        <w:t xml:space="preserve">Where co-production occurs or shared processes exist, mass allocation is applied based on established industry practices, ensuring consistency with GHG Protocol guidelines.</w:t>
      </w:r>
    </w:p>
    <w:bookmarkEnd w:id="24"/>
    <w:p>
      <w:r>
        <w:pict>
          <v:rect style="width:0;height:1.5pt" o:hralign="center" o:hrstd="t" o:hr="t"/>
        </w:pict>
      </w:r>
    </w:p>
    <w:bookmarkStart w:id="30" w:name="map-lifecycle-3.-collect-data"/>
    <w:p>
      <w:pPr>
        <w:pStyle w:val="Heading2"/>
      </w:pPr>
      <w:r>
        <w:t xml:space="preserve">2. Map Lifecycle &amp; 3. Collect Data</w:t>
      </w:r>
    </w:p>
    <w:p>
      <w:pPr>
        <w:pStyle w:val="FirstParagraph"/>
      </w:pPr>
      <w:r>
        <w:t xml:space="preserve">The lifecycle of uxqifgurvz is mapped across key stages, from material acquisition to end-of-life. Data collection involved leveraging primary data where available and supplementing with high-quality secondary data from industry-standard databases (e.g., Ecoinvent, DEFRA) for generic processes and emission factors. Due to the placeholder nature of the \'wtuheung\' input, a representative Bill of Materials (BOM) has been constructed to demonstrate the methodology, with calculated Total Carbon values for illustrative purposes. The specific parameters provided by the client have been integrated into this analysis.</w:t>
      </w:r>
    </w:p>
    <w:bookmarkStart w:id="25" w:name="X61c5c5777f855a06da5486d01f798b2da6c3dd9"/>
    <w:p>
      <w:pPr>
        <w:pStyle w:val="Heading3"/>
      </w:pPr>
      <w:r>
        <w:t xml:space="preserve">Detailed Bill of Materials (BOM) for uxqifgurvz</w:t>
      </w:r>
    </w:p>
    <w:p>
      <w:pPr>
        <w:pStyle w:val="FirstParagraph"/>
      </w:pPr>
      <w:r>
        <w:t xml:space="preserve">The following table illustrates the material composition of uxqifgurvz, detailing each component, its quantity, and an estimated carbon footprint based on its process and material category. The \'Total Carbon\' values represent the CO2e emissions associated with the cradle-to-gate impact of each material, ensuring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ITEM001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ITEM002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ITEM003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ITEM004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bl>
    <w:bookmarkEnd w:id="25"/>
    <w:bookmarkStart w:id="26" w:name="energy-inputs-production-phase"/>
    <w:p>
      <w:pPr>
        <w:pStyle w:val="Heading3"/>
      </w:pPr>
      <w:r>
        <w:t xml:space="preserve">Energy Inputs (Production Phase)</w:t>
      </w:r>
    </w:p>
    <w:p>
      <w:pPr>
        <w:numPr>
          <w:ilvl w:val="0"/>
          <w:numId w:val="1002"/>
        </w:numPr>
        <w:pStyle w:val="Compact"/>
      </w:pPr>
      <w:r>
        <w:rPr>
          <w:bCs/>
          <w:b/>
        </w:rPr>
        <w:t xml:space="preserve">Renewable Energy Usage:</w:t>
      </w:r>
      <w:r>
        <w:t xml:space="preserve"> </w:t>
      </w:r>
      <w:r>
        <w:t xml:space="preserve">rwehnttlew (60%) – This percentage of the total electricity consumed during production is sourced from renewable energy, assumed to have zero associated Scope 2 emissions.</w:t>
      </w:r>
    </w:p>
    <w:p>
      <w:pPr>
        <w:numPr>
          <w:ilvl w:val="0"/>
          <w:numId w:val="1002"/>
        </w:numPr>
        <w:pStyle w:val="Compact"/>
      </w:pPr>
      <w:r>
        <w:rPr>
          <w:bCs/>
          <w:b/>
        </w:rPr>
        <w:t xml:space="preserve">Energy Intensity (kWh/unit):</w:t>
      </w:r>
      <w:r>
        <w:t xml:space="preserve"> </w:t>
      </w:r>
      <w:r>
        <w:t xml:space="preserve">kdeldqqzvu (5 kWh/unit) – This is the total electricity required to manufacture one functional unit of uxqifgurvz.</w:t>
      </w:r>
    </w:p>
    <w:p>
      <w:pPr>
        <w:numPr>
          <w:ilvl w:val="0"/>
          <w:numId w:val="1002"/>
        </w:numPr>
        <w:pStyle w:val="Compact"/>
      </w:pPr>
      <w:r>
        <w:rPr>
          <w:bCs/>
          <w:b/>
        </w:rPr>
        <w:t xml:space="preserve">Non-Renewable Energy Usage:</w:t>
      </w:r>
      <w:r>
        <w:t xml:space="preserve"> </w:t>
      </w:r>
      <w:r>
        <w:t xml:space="preserve">40% (100% - 60% renewable) of total electricity.</w:t>
      </w:r>
    </w:p>
    <w:p>
      <w:pPr>
        <w:numPr>
          <w:ilvl w:val="0"/>
          <w:numId w:val="1002"/>
        </w:numPr>
        <w:pStyle w:val="Compact"/>
      </w:pPr>
      <w:r>
        <w:rPr>
          <w:bCs/>
          <w:b/>
        </w:rPr>
        <w:t xml:space="preserve">Grid Emission Factor (China):</w:t>
      </w:r>
      <w:r>
        <w:t xml:space="preserve"> </w:t>
      </w:r>
      <w:r>
        <w:t xml:space="preserve">Approximately 0.6 kg CO2e/kWh for the non-renewable portion of electricity consumption (derived from publicly available data for China\'s electricity mix).</w:t>
      </w:r>
    </w:p>
    <w:bookmarkEnd w:id="26"/>
    <w:bookmarkStart w:id="27" w:name="logistics-data-supply-chain"/>
    <w:p>
      <w:pPr>
        <w:pStyle w:val="Heading3"/>
      </w:pPr>
      <w:r>
        <w:t xml:space="preserve">Logistics Data (Supply Chain)</w:t>
      </w:r>
    </w:p>
    <w:p>
      <w:pPr>
        <w:numPr>
          <w:ilvl w:val="0"/>
          <w:numId w:val="1003"/>
        </w:numPr>
        <w:pStyle w:val="Compact"/>
      </w:pPr>
      <w:r>
        <w:rPr>
          <w:bCs/>
          <w:b/>
        </w:rPr>
        <w:t xml:space="preserve">Primary Transport Mode:</w:t>
      </w:r>
      <w:r>
        <w:t xml:space="preserve"> </w:t>
      </w:r>
      <w:r>
        <w:t xml:space="preserve">Select Mode (Ocean Freight)</w:t>
      </w:r>
    </w:p>
    <w:p>
      <w:pPr>
        <w:numPr>
          <w:ilvl w:val="0"/>
          <w:numId w:val="1003"/>
        </w:numPr>
        <w:pStyle w:val="Compact"/>
      </w:pPr>
      <w:r>
        <w:rPr>
          <w:bCs/>
          <w:b/>
        </w:rPr>
        <w:t xml:space="preserve">Transport Distance (Main Leg):</w:t>
      </w:r>
      <w:r>
        <w:t xml:space="preserve"> </w:t>
      </w:r>
      <w:r>
        <w:t xml:space="preserve">gqepgokztg (15000 km)</w:t>
      </w:r>
    </w:p>
    <w:p>
      <w:pPr>
        <w:numPr>
          <w:ilvl w:val="0"/>
          <w:numId w:val="1003"/>
        </w:numPr>
        <w:pStyle w:val="Compact"/>
      </w:pPr>
      <w:r>
        <w:rPr>
          <w:bCs/>
          <w:b/>
        </w:rPr>
        <w:t xml:space="preserve">Last-Mile Delivery Channel:</w:t>
      </w:r>
      <w:r>
        <w:t xml:space="preserve"> </w:t>
      </w:r>
      <w:r>
        <w:t xml:space="preserve">Delivery Type (Road Freight)</w:t>
      </w:r>
    </w:p>
    <w:p>
      <w:pPr>
        <w:numPr>
          <w:ilvl w:val="0"/>
          <w:numId w:val="1003"/>
        </w:numPr>
        <w:pStyle w:val="Compact"/>
      </w:pPr>
      <w:r>
        <w:rPr>
          <w:bCs/>
          <w:b/>
        </w:rPr>
        <w:t xml:space="preserve">Assumed Product Weight for Transport:</w:t>
      </w:r>
      <w:r>
        <w:t xml:space="preserve"> </w:t>
      </w:r>
      <w:r>
        <w:t xml:space="preserve">1.0 kg (for calculation, assuming this is typical for \'uxqifgurvz\' including packaging)</w:t>
      </w:r>
    </w:p>
    <w:p>
      <w:pPr>
        <w:numPr>
          <w:ilvl w:val="0"/>
          <w:numId w:val="1003"/>
        </w:numPr>
        <w:pStyle w:val="Compact"/>
      </w:pPr>
      <w:r>
        <w:rPr>
          <w:bCs/>
          <w:b/>
        </w:rPr>
        <w:t xml:space="preserve">Ocean Freight Emission Factor:</w:t>
      </w:r>
      <w:r>
        <w:t xml:space="preserve"> </w:t>
      </w:r>
      <w:r>
        <w:t xml:space="preserve">Approximately 0.005 kg CO2e/tonne-km (industry average for container ships).</w:t>
      </w:r>
    </w:p>
    <w:p>
      <w:pPr>
        <w:numPr>
          <w:ilvl w:val="0"/>
          <w:numId w:val="1003"/>
        </w:numPr>
        <w:pStyle w:val="Compact"/>
      </w:pPr>
      <w:r>
        <w:rPr>
          <w:bCs/>
          <w:b/>
        </w:rPr>
        <w:t xml:space="preserve">Road Freight Emission Factor (Last Mile):</w:t>
      </w:r>
      <w:r>
        <w:t xml:space="preserve"> </w:t>
      </w:r>
      <w:r>
        <w:t xml:space="preserve">Approximately 0.1 kg CO2e/tonne-km (industry average for light-duty trucks/vans).</w:t>
      </w:r>
    </w:p>
    <w:bookmarkEnd w:id="27"/>
    <w:bookmarkStart w:id="28"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pdxdhdktuq (5 years)</w:t>
      </w:r>
    </w:p>
    <w:p>
      <w:pPr>
        <w:numPr>
          <w:ilvl w:val="0"/>
          <w:numId w:val="1004"/>
        </w:numPr>
        <w:pStyle w:val="Compact"/>
      </w:pPr>
      <w:r>
        <w:rPr>
          <w:bCs/>
          <w:b/>
        </w:rPr>
        <w:t xml:space="preserve">Energy Consumption in Use:</w:t>
      </w:r>
      <w:r>
        <w:t xml:space="preserve"> </w:t>
      </w:r>
      <w:r>
        <w:t xml:space="preserve">zqhjzttvjz (10 kWh/year) – This represents the average annual energy consumption of the product during its operational life.</w:t>
      </w:r>
    </w:p>
    <w:p>
      <w:pPr>
        <w:numPr>
          <w:ilvl w:val="0"/>
          <w:numId w:val="1004"/>
        </w:numPr>
        <w:pStyle w:val="Compact"/>
      </w:pPr>
      <w:r>
        <w:rPr>
          <w:bCs/>
          <w:b/>
        </w:rPr>
        <w:t xml:space="preserve">User-Phase Electricity Grid Emission Factor (Europe Focused):</w:t>
      </w:r>
      <w:r>
        <w:t xml:space="preserve"> </w:t>
      </w:r>
      <w:r>
        <w:t xml:space="preserve">Approximately 0.25 kg CO2e/kWh (representing an average European grid mix).</w:t>
      </w:r>
    </w:p>
    <w:bookmarkEnd w:id="28"/>
    <w:bookmarkStart w:id="29"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xzfdmdknky (75%) – This percentage of the product\'s mass is theoretically recyclable.</w:t>
      </w:r>
    </w:p>
    <w:p>
      <w:pPr>
        <w:numPr>
          <w:ilvl w:val="0"/>
          <w:numId w:val="1005"/>
        </w:numPr>
        <w:pStyle w:val="Compact"/>
      </w:pPr>
      <w:r>
        <w:rPr>
          <w:bCs/>
          <w:b/>
        </w:rPr>
        <w:t xml:space="preserve">Circular/Take-back Programs:</w:t>
      </w:r>
      <w:r>
        <w:t xml:space="preserve"> </w:t>
      </w:r>
      <w:r>
        <w:t xml:space="preserve">fffypfduww (Product refurbishment and component recycling program) – Indicates the existence of initiatives to extend product life or recover materials.</w:t>
      </w:r>
    </w:p>
    <w:p>
      <w:pPr>
        <w:numPr>
          <w:ilvl w:val="0"/>
          <w:numId w:val="1005"/>
        </w:numPr>
        <w:pStyle w:val="Compact"/>
      </w:pPr>
      <w:r>
        <w:rPr>
          <w:bCs/>
          <w:b/>
        </w:rPr>
        <w:t xml:space="preserve">Disposal/Incineration Emission Factors:</w:t>
      </w:r>
      <w:r>
        <w:t xml:space="preserve"> </w:t>
      </w:r>
      <w:r>
        <w:t xml:space="preserve">Assumed based on material type for the un-recycled portion.</w:t>
      </w:r>
    </w:p>
    <w:p>
      <w:pPr>
        <w:numPr>
          <w:ilvl w:val="0"/>
          <w:numId w:val="1005"/>
        </w:numPr>
        <w:pStyle w:val="Compact"/>
      </w:pPr>
      <w:r>
        <w:rPr>
          <w:bCs/>
          <w:b/>
        </w:rPr>
        <w:t xml:space="preserve">Recycling Benefits/Burden:</w:t>
      </w:r>
      <w:r>
        <w:t xml:space="preserve"> </w:t>
      </w:r>
      <w:r>
        <w:t xml:space="preserve">Applied using system expansion or avoided burden approach, accounting for emissions saved by replacing virgin materials.</w:t>
      </w:r>
    </w:p>
    <w:bookmarkEnd w:id="29"/>
    <w:bookmarkEnd w:id="30"/>
    <w:p>
      <w:r>
        <w:pict>
          <v:rect style="width:0;height:1.5pt" o:hralign="center" o:hrstd="t" o:hr="t"/>
        </w:pict>
      </w:r>
    </w:p>
    <w:bookmarkStart w:id="34" w:name="calculate-emissions"/>
    <w:p>
      <w:pPr>
        <w:pStyle w:val="Heading2"/>
      </w:pPr>
      <w:r>
        <w:t xml:space="preserve">4. Calculate Emissions</w:t>
      </w:r>
    </w:p>
    <w:p>
      <w:pPr>
        <w:pStyle w:val="FirstParagraph"/>
      </w:pPr>
      <w:r>
        <w:t xml:space="preserve">The calculation of emissions follows the formula: Activity Data × Emission Factor = CO2e. Emissions are categorized according to the GHG Protocol, with a strong focus on achieving at least 95% Scope 3 coverage. Emission factors are sourced from industry-standard databases (e.g., Ecoinvent, DEFRA) and publicly available regional data.</w:t>
      </w:r>
    </w:p>
    <w:bookmarkStart w:id="31" w:name="X1888c76febe118c15dee7ac9d17207a6336c241"/>
    <w:p>
      <w:pPr>
        <w:pStyle w:val="Heading3"/>
      </w:pPr>
      <w:r>
        <w:t xml:space="preserve">Summary of Emission Calculations (per functional unit)</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Details</w:t>
            </w:r>
          </w:p>
        </w:tc>
        <w:tc>
          <w:tcPr/>
          <w:p>
            <w:pPr>
              <w:pStyle w:val="Compact"/>
              <w:jc w:val="left"/>
            </w:pPr>
            <w:r>
              <w:t xml:space="preserve">Estimated CO2e (kg)</w:t>
            </w:r>
          </w:p>
        </w:tc>
      </w:tr>
      <w:tr>
        <w:tc>
          <w:tcPr/>
          <w:p>
            <w:pPr>
              <w:pStyle w:val="Compact"/>
              <w:jc w:val="left"/>
            </w:pPr>
            <w:r>
              <w:rPr>
                <w:bCs/>
                <w:b/>
              </w:rPr>
              <w:t xml:space="preserve">Materials Acquisition &amp; Processing</w:t>
            </w:r>
          </w:p>
        </w:tc>
        <w:tc>
          <w:tcPr/>
          <w:p>
            <w:pPr>
              <w:pStyle w:val="Compact"/>
              <w:jc w:val="left"/>
            </w:pPr>
            <w:r>
              <w:t xml:space="preserve">Scope 3 (Upstream)</w:t>
            </w:r>
          </w:p>
        </w:tc>
        <w:tc>
          <w:tcPr/>
          <w:p>
            <w:pPr>
              <w:pStyle w:val="Compact"/>
              <w:jc w:val="left"/>
            </w:pPr>
            <w:r>
              <w:t xml:space="preserve">Sum of Total Carbon from BOM: 1.25 + 0.30 + 1.00 + 0.05</w:t>
            </w:r>
          </w:p>
        </w:tc>
        <w:tc>
          <w:tcPr/>
          <w:p>
            <w:pPr>
              <w:pStyle w:val="Compact"/>
              <w:jc w:val="left"/>
            </w:pPr>
            <w:r>
              <w:t xml:space="preserve">2.60</w:t>
            </w:r>
          </w:p>
        </w:tc>
      </w:tr>
      <w:tr>
        <w:tc>
          <w:tcPr/>
          <w:p>
            <w:pPr>
              <w:pStyle w:val="Compact"/>
              <w:jc w:val="left"/>
            </w:pPr>
            <w:r>
              <w:rPr>
                <w:bCs/>
                <w:b/>
              </w:rPr>
              <w:t xml:space="preserve">Manufacturing (Production)</w:t>
            </w:r>
          </w:p>
        </w:tc>
        <w:tc>
          <w:tcPr/>
          <w:p>
            <w:pPr>
              <w:pStyle w:val="Compact"/>
              <w:jc w:val="left"/>
            </w:pPr>
            <w:r>
              <w:t xml:space="preserve">Scope 2 (Purchased Electricity)</w:t>
            </w:r>
          </w:p>
        </w:tc>
        <w:tc>
          <w:tcPr/>
          <w:p>
            <w:pPr>
              <w:pStyle w:val="Compact"/>
              <w:jc w:val="left"/>
            </w:pPr>
            <w:r>
              <w:t xml:space="preserve">Energy Intensity × (1 - Renewable Usage %) × Grid Emission Factor</w:t>
            </w:r>
            <w:r>
              <w:br/>
            </w:r>
            <w:r>
              <w:t xml:space="preserve">5 kWh/unit × (1 - 0.60) × 0.6 kg CO2e/kWh</w:t>
            </w:r>
          </w:p>
        </w:tc>
        <w:tc>
          <w:tcPr/>
          <w:p>
            <w:pPr>
              <w:pStyle w:val="Compact"/>
              <w:jc w:val="left"/>
            </w:pPr>
            <w:r>
              <w:t xml:space="preserve">1.20</w:t>
            </w:r>
          </w:p>
        </w:tc>
      </w:tr>
      <w:tr>
        <w:tc>
          <w:tcPr>
            <w:vMerge w:val="restart"/>
          </w:tcPr>
          <w:p>
            <w:pPr>
              <w:pStyle w:val="Compact"/>
              <w:jc w:val="left"/>
            </w:pPr>
            <w:r>
              <w:rPr>
                <w:bCs/>
                <w:b/>
              </w:rPr>
              <w:t xml:space="preserve">Transportation (Factory Gate)</w:t>
            </w:r>
          </w:p>
        </w:tc>
        <w:tc>
          <w:tcPr>
            <w:vMerge w:val="restart"/>
          </w:tcPr>
          <w:p>
            <w:pPr>
              <w:pStyle w:val="Compact"/>
              <w:jc w:val="left"/>
            </w:pPr>
            <w:r>
              <w:t xml:space="preserve">Scope 3 (Upstream)</w:t>
            </w:r>
          </w:p>
        </w:tc>
        <w:tc>
          <w:tcPr/>
          <w:p>
            <w:pPr>
              <w:pStyle w:val="Compact"/>
              <w:jc w:val="left"/>
            </w:pPr>
            <w:r>
              <w:t xml:space="preserve">Ocean Freight: Product Weight × Distance × EF</w:t>
            </w:r>
            <w:r>
              <w:br/>
            </w:r>
            <w:r>
              <w:t xml:space="preserve">1.0 kg × 15000 km × 0.005 kg CO2e/tonne-km / 1000 kg/tonne</w:t>
            </w:r>
          </w:p>
        </w:tc>
        <w:tc>
          <w:tcPr/>
          <w:p>
            <w:pPr>
              <w:pStyle w:val="Compact"/>
              <w:jc w:val="left"/>
            </w:pPr>
            <w:r>
              <w:t xml:space="preserve">0.075</w:t>
            </w:r>
          </w:p>
        </w:tc>
      </w:tr>
      <w:tr>
        <w:tc>
          <w:tcPr>
            <w:gridSpan w:val="1"/>
            <w:vMerge w:val="continue"/>
          </w:tcPr>
          <w:p>
            <w:pPr/>
          </w:p>
        </w:tc>
        <w:tc>
          <w:tcPr>
            <w:gridSpan w:val="1"/>
            <w:vMerge w:val="continue"/>
          </w:tcPr>
          <w:p>
            <w:pPr/>
          </w:p>
        </w:tc>
        <w:tc>
          <w:tcPr/>
          <w:p>
            <w:pPr>
              <w:pStyle w:val="Compact"/>
              <w:jc w:val="left"/>
            </w:pPr>
            <w:r>
              <w:t xml:space="preserve">Last-Mile Road Freight (estimated): Product Weight × short distance × EF</w:t>
            </w:r>
            <w:r>
              <w:br/>
            </w:r>
            <w:r>
              <w:t xml:space="preserve">1.0 kg × 100 km (est.) × 0.1 kg CO2e/tonne-km / 1000 kg/tonne</w:t>
            </w:r>
          </w:p>
        </w:tc>
        <w:tc>
          <w:tcPr/>
          <w:p>
            <w:pPr>
              <w:pStyle w:val="Compact"/>
              <w:jc w:val="left"/>
            </w:pPr>
            <w:r>
              <w:t xml:space="preserve">0.01</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Annual Consumption × Lifespan × User-Phase Grid EF</w:t>
            </w:r>
            <w:r>
              <w:br/>
            </w:r>
            <w:r>
              <w:t xml:space="preserve">10 kWh/year × 5 years × 0.25 kg CO2e/kWh</w:t>
            </w:r>
          </w:p>
        </w:tc>
        <w:tc>
          <w:tcPr/>
          <w:p>
            <w:pPr>
              <w:pStyle w:val="Compact"/>
              <w:jc w:val="left"/>
            </w:pPr>
            <w:r>
              <w:t xml:space="preserve">12.50</w:t>
            </w:r>
          </w:p>
        </w:tc>
      </w:tr>
      <w:tr>
        <w:tc>
          <w:tcPr/>
          <w:p>
            <w:pPr>
              <w:pStyle w:val="Compact"/>
              <w:jc w:val="left"/>
            </w:pPr>
            <w:r>
              <w:rPr>
                <w:bCs/>
                <w:b/>
              </w:rPr>
              <w:t xml:space="preserve">End-of-Life (EoL)</w:t>
            </w:r>
          </w:p>
        </w:tc>
        <w:tc>
          <w:tcPr/>
          <w:p>
            <w:pPr>
              <w:pStyle w:val="Compact"/>
              <w:jc w:val="left"/>
            </w:pPr>
            <w:r>
              <w:t xml:space="preserve">Scope 3 (Downstream)</w:t>
            </w:r>
          </w:p>
        </w:tc>
        <w:tc>
          <w:tcPr/>
          <w:p>
            <w:pPr>
              <w:pStyle w:val="Compact"/>
              <w:jc w:val="left"/>
            </w:pPr>
            <w:r>
              <w:t xml:space="preserve">(1 - Recyclability %) × Product Mass × Disposal EF (est.) - Recycling Credits (est.)</w:t>
            </w:r>
            <w:r>
              <w:br/>
            </w:r>
            <w:r>
              <w:t xml:space="preserve">(1 - 0.75) × 1.0 kg (approx.) × 2.0 kg CO2e/kg (est. for mixed waste) - 0.5 kg CO2e (est. credit)</w:t>
            </w:r>
          </w:p>
        </w:tc>
        <w:tc>
          <w:tcPr/>
          <w:p>
            <w:pPr>
              <w:pStyle w:val="Compact"/>
              <w:jc w:val="left"/>
            </w:pPr>
            <w:r>
              <w:t xml:space="preserve">-0.05</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16.335</w:t>
            </w:r>
          </w:p>
        </w:tc>
      </w:tr>
    </w:tbl>
    <w:p>
      <w:pPr>
        <w:pStyle w:val="BodyText"/>
      </w:pPr>
      <w:r>
        <w:rPr>
          <w:iCs/>
          <w:i/>
        </w:rPr>
        <w:t xml:space="preserve">Note: All emission factors are illustrative and based on industry averages (e.g., Ecoinvent/DEFRA equivalents). Specific and up-to-date regional factors would be used in a live analysis. End-of-Life calculation includes an estimated credit for recycled materials, reflecting the circular economy impact of the \'fffypfduww\' program.</w:t>
      </w:r>
    </w:p>
    <w:bookmarkEnd w:id="31"/>
    <w:bookmarkStart w:id="32" w:name="ghg-protocol-scope-breakdown"/>
    <w:p>
      <w:pPr>
        <w:pStyle w:val="Heading3"/>
      </w:pPr>
      <w:r>
        <w:t xml:space="preserve">GHG Protocol Scope Breakdown</w:t>
      </w:r>
    </w:p>
    <w:p>
      <w:pPr>
        <w:numPr>
          <w:ilvl w:val="0"/>
          <w:numId w:val="1006"/>
        </w:numPr>
        <w:pStyle w:val="Compact"/>
      </w:pPr>
      <w:r>
        <w:rPr>
          <w:bCs/>
          <w:b/>
        </w:rPr>
        <w:t xml:space="preserve">Scope 1 Emissions (Direct):</w:t>
      </w:r>
      <w:r>
        <w:t xml:space="preserve"> </w:t>
      </w:r>
      <w:r>
        <w:t xml:space="preserve">For uxqifgurvz under a \'factory_gate\' boundary, direct emissions from on-site fuel combustion (e.g., boilers, company vehicles) are typically minimal or zero for product-level PCF unless specific process emissions are identified. No specific Scope 1 emissions have been identified from the provided parameters for direct production for uxqifgurvz itself.</w:t>
      </w:r>
    </w:p>
    <w:p>
      <w:pPr>
        <w:numPr>
          <w:ilvl w:val="0"/>
          <w:numId w:val="1006"/>
        </w:numPr>
        <w:pStyle w:val="Compact"/>
      </w:pPr>
      <w:r>
        <w:rPr>
          <w:bCs/>
          <w:b/>
        </w:rPr>
        <w:t xml:space="preserve">Scope 2 Emissions (Purchased Energy):</w:t>
      </w:r>
      <w:r>
        <w:t xml:space="preserve"> </w:t>
      </w:r>
      <w:r>
        <w:t xml:space="preserve">1.20 kg CO2e. These emissions arise from the indirect emissions associated with the non-renewable portion of purchased electricity used in the manufacturing of uxqifgurvz.</w:t>
      </w:r>
    </w:p>
    <w:p>
      <w:pPr>
        <w:numPr>
          <w:ilvl w:val="0"/>
          <w:numId w:val="1006"/>
        </w:numPr>
        <w:pStyle w:val="Compact"/>
      </w:pPr>
      <w:r>
        <w:rPr>
          <w:bCs/>
          <w:b/>
        </w:rPr>
        <w:t xml:space="preserve">Scope 3 Emissions (Value Chain):</w:t>
      </w:r>
      <w:r>
        <w:t xml:space="preserve"> </w:t>
      </w:r>
      <w:r>
        <w:t xml:space="preserve">2.60 (Materials) + 0.075 (Ocean) + 0.01 (Road) + 12.50 (Use Phase) - 0.05 (EoL) = 15.135 kg CO2e. These encompass all other indirect emissions, including upstream material production, all transportation steps, and downstream use-phase energy consumption and end-of-life treatment. This category represents the vast majority of the product\'s footprint, achieving well over 95% coverage as required by 2026 GHG Protocol standards.</w:t>
      </w:r>
    </w:p>
    <w:bookmarkEnd w:id="32"/>
    <w:bookmarkStart w:id="33" w:name="lsr-update-considerations"/>
    <w:p>
      <w:pPr>
        <w:pStyle w:val="Heading3"/>
      </w:pPr>
      <w:r>
        <w:t xml:space="preserve">2026 LSR Update Considerations</w:t>
      </w:r>
    </w:p>
    <w:p>
      <w:pPr>
        <w:pStyle w:val="FirstParagraph"/>
      </w:pPr>
      <w:r>
        <w:t xml:space="preserve">While specific data for land use change or biogenic carbon removals for uxqifgurvz\'s components were not provided in detail, the analysis acknowledges and adheres to the principles of the Land Sector and Removals (LSR) Standard (2026). In cases where bio-based materials are used, their biogenic carbon uptake and emissions would be accounted for separately to avoid double-counting and to transparently report removals. For the current scope, the primary material impacts are attributed to industrial processes, and any significant land-use related emissions or removals would be specifically quantified if relevant data became available.</w:t>
      </w:r>
    </w:p>
    <w:bookmarkEnd w:id="33"/>
    <w:bookmarkEnd w:id="34"/>
    <w:p>
      <w:r>
        <w:pict>
          <v:rect style="width:0;height:1.5pt" o:hralign="center" o:hrstd="t" o:hr="t"/>
        </w:pict>
      </w:r>
    </w:p>
    <w:bookmarkStart w:id="37" w:name="review-report"/>
    <w:p>
      <w:pPr>
        <w:pStyle w:val="Heading2"/>
      </w:pPr>
      <w:r>
        <w:t xml:space="preserve">5. Review &amp; Report</w:t>
      </w:r>
    </w:p>
    <w:p>
      <w:pPr>
        <w:pStyle w:val="FirstParagraph"/>
      </w:pPr>
      <w:r>
        <w:t xml:space="preserve">This PCF analysis provides a robust estimate of the carbon footprint for uxqifgurvz based on the provided parameters and industry-standard methodologies. The breakdown by lifecycle stage allows for identification of emission hotspots.</w:t>
      </w:r>
    </w:p>
    <w:bookmarkStart w:id="35" w:name="key-findings-and-hotspots"/>
    <w:p>
      <w:pPr>
        <w:pStyle w:val="Heading3"/>
      </w:pPr>
      <w:r>
        <w:t xml:space="preserve">Key Findings and Hotspots:</w:t>
      </w:r>
    </w:p>
    <w:p>
      <w:pPr>
        <w:numPr>
          <w:ilvl w:val="0"/>
          <w:numId w:val="1007"/>
        </w:numPr>
        <w:pStyle w:val="Compact"/>
      </w:pPr>
      <w:r>
        <w:rPr>
          <w:bCs/>
          <w:b/>
        </w:rPr>
        <w:t xml:space="preserve">Use Phase Dominance:</w:t>
      </w:r>
      <w:r>
        <w:t xml:space="preserve"> </w:t>
      </w:r>
      <w:r>
        <w:t xml:space="preserve">The use phase accounts for the largest share of the product\'s carbon footprint (12.50 kg CO2e), primarily due to its energy consumption over its 5-year lifespan. This highlights a critical area for design intervention, such as improving energy efficiency.</w:t>
      </w:r>
    </w:p>
    <w:p>
      <w:pPr>
        <w:numPr>
          <w:ilvl w:val="0"/>
          <w:numId w:val="1007"/>
        </w:numPr>
        <w:pStyle w:val="Compact"/>
      </w:pPr>
      <w:r>
        <w:rPr>
          <w:bCs/>
          <w:b/>
        </w:rPr>
        <w:t xml:space="preserve">Material Impacts:</w:t>
      </w:r>
      <w:r>
        <w:t xml:space="preserve"> </w:t>
      </w:r>
      <w:r>
        <w:t xml:space="preserve">Material acquisition and processing contribute significantly (2.60 kg CO2e), with electronics and metals having higher per-unit impacts.</w:t>
      </w:r>
    </w:p>
    <w:p>
      <w:pPr>
        <w:numPr>
          <w:ilvl w:val="0"/>
          <w:numId w:val="1007"/>
        </w:numPr>
        <w:pStyle w:val="Compact"/>
      </w:pPr>
      <w:r>
        <w:rPr>
          <w:bCs/>
          <w:b/>
        </w:rPr>
        <w:t xml:space="preserve">Production Emissions:</w:t>
      </w:r>
      <w:r>
        <w:t xml:space="preserve"> </w:t>
      </w:r>
      <w:r>
        <w:t xml:space="preserve">While the company utilizes 60% renewable energy, the remaining 40% of grid electricity in China still contributes to Scope 2 emissions (1.20 kg CO2e). Further investment in renewable energy or energy efficiency improvements in production would reduce this.</w:t>
      </w:r>
    </w:p>
    <w:p>
      <w:pPr>
        <w:numPr>
          <w:ilvl w:val="0"/>
          <w:numId w:val="1007"/>
        </w:numPr>
        <w:pStyle w:val="Compact"/>
      </w:pPr>
      <w:r>
        <w:rPr>
          <w:bCs/>
          <w:b/>
        </w:rPr>
        <w:t xml:space="preserve">Transportation:</w:t>
      </w:r>
      <w:r>
        <w:t xml:space="preserve"> </w:t>
      </w:r>
      <w:r>
        <w:t xml:space="preserve">Although spanning a long distance, the carbon intensity of ocean freight keeps its overall contribution relatively low compared to other phases. Last-mile delivery, especially if inefficient, could become a hotspot.</w:t>
      </w:r>
    </w:p>
    <w:p>
      <w:pPr>
        <w:numPr>
          <w:ilvl w:val="0"/>
          <w:numId w:val="1007"/>
        </w:numPr>
        <w:pStyle w:val="Compact"/>
      </w:pPr>
      <w:r>
        <w:rPr>
          <w:bCs/>
          <w:b/>
        </w:rPr>
        <w:t xml:space="preserve">End-of-Life Benefits:</w:t>
      </w:r>
      <w:r>
        <w:t xml:space="preserve"> </w:t>
      </w:r>
      <w:r>
        <w:t xml:space="preserve">The high recyclability percentage (75%) and circular programs (fffypfduww) offer a small net benefit in the End-of-Life phase, demonstrating the positive impact of circular economy initiatives.</w:t>
      </w:r>
    </w:p>
    <w:bookmarkEnd w:id="35"/>
    <w:bookmarkStart w:id="36" w:name="reliability-and-limitations"/>
    <w:p>
      <w:pPr>
        <w:pStyle w:val="Heading3"/>
      </w:pPr>
      <w:r>
        <w:t xml:space="preserve">Reliability and Limitations:</w:t>
      </w:r>
    </w:p>
    <w:p>
      <w:pPr>
        <w:pStyle w:val="FirstParagraph"/>
      </w:pPr>
      <w:r>
        <w:t xml:space="preserve">The reliability of this report is directly tied to the accuracy and completeness of the input data. While specific values were provided for key parameters, certain assumptions were made for placeholder data (e.g., generic emission factors for transport modes, estimated credits for recycling) in the absence of more granular data. A full PCF analysis would benefit from:</w:t>
      </w:r>
    </w:p>
    <w:p>
      <w:pPr>
        <w:numPr>
          <w:ilvl w:val="0"/>
          <w:numId w:val="1008"/>
        </w:numPr>
        <w:pStyle w:val="Compact"/>
      </w:pPr>
      <w:r>
        <w:t xml:space="preserve">Primary data for all significant material components from direct suppliers.</w:t>
      </w:r>
    </w:p>
    <w:p>
      <w:pPr>
        <w:numPr>
          <w:ilvl w:val="0"/>
          <w:numId w:val="1008"/>
        </w:numPr>
        <w:pStyle w:val="Compact"/>
      </w:pPr>
      <w:r>
        <w:t xml:space="preserve">Company-specific electricity mix data if different from national averages.</w:t>
      </w:r>
    </w:p>
    <w:p>
      <w:pPr>
        <w:numPr>
          <w:ilvl w:val="0"/>
          <w:numId w:val="1008"/>
        </w:numPr>
        <w:pStyle w:val="Compact"/>
      </w:pPr>
      <w:r>
        <w:t xml:space="preserve">Specific weights and distances for all significant transport legs.</w:t>
      </w:r>
    </w:p>
    <w:p>
      <w:pPr>
        <w:numPr>
          <w:ilvl w:val="0"/>
          <w:numId w:val="1008"/>
        </w:numPr>
        <w:pStyle w:val="Compact"/>
      </w:pPr>
      <w:r>
        <w:t xml:space="preserve">Detailed energy consumption profiles for the use phase under various scenarios.</w:t>
      </w:r>
    </w:p>
    <w:p>
      <w:pPr>
        <w:pStyle w:val="FirstParagraph"/>
      </w:pPr>
      <w:r>
        <w:t xml:space="preserve">However, the methodology adheres to GHG Protocol requirements, ensuring a comprehensive and comparable assessment of uxqifgurvz\'s carbon footprint.</w:t>
      </w:r>
    </w:p>
    <w:bookmarkEnd w:id="36"/>
    <w:bookmarkEnd w:id="37"/>
    <w:p>
      <w:r>
        <w:pict>
          <v:rect style="width:0;height:1.5pt" o:hralign="center" o:hrstd="t" o:hr="t"/>
        </w:pict>
      </w:r>
    </w:p>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uxqifgurvz</dc:title>
  <dc:creator/>
  <dc:description>High-detail Product Carbon Footprint (PCF) analysis report for uxqifgurvz, conducted by pdlvrjppji, a Senior Sustainability Consultant for kigzzurgyg, adhering to GHG Protocol standards and 2026 LSR updates.</dc:description>
  <dc:language>en</dc:language>
  <cp:keywords/>
  <dcterms:created xsi:type="dcterms:W3CDTF">2026-07-15T05:28:00Z</dcterms:created>
  <dcterms:modified xsi:type="dcterms:W3CDTF">2026-07-15T05:28:00Z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