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urdpjjpxle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urdpjjpxle</w:t>
      </w:r>
    </w:p>
    <w:p>
      <w:pPr>
        <w:pStyle w:val="BodyText"/>
      </w:pPr>
      <w:r>
        <w:rPr>
          <w:bCs/>
          <w:b/>
        </w:rPr>
        <w:t xml:space="preserve">Company Name:</w:t>
      </w:r>
      <w:r>
        <w:t xml:space="preserve"> </w:t>
      </w:r>
      <w:r>
        <w:t xml:space="preserve">qtwdhmfznr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izhqsxmrdl</w:t>
      </w:r>
    </w:p>
    <w:p>
      <w:pPr>
        <w:pStyle w:val="BodyText"/>
      </w:pPr>
      <w:r>
        <w:t xml:space="preserve">This report is generated based on available data and industry standards. While every effort has been made to ensure accuracy, the actual carbon footprint may vary depending on real-time operational specifics and evolving methodologies.</w:t>
      </w:r>
    </w:p>
    <w:bookmarkEnd w:id="20"/>
    <w:bookmarkStart w:id="21" w:name="X9e26628d59b398be4af848de428712c1efd35ed"/>
    <w:p>
      <w:pPr>
        <w:pStyle w:val="Heading1"/>
      </w:pPr>
      <w:r>
        <w:t xml:space="preserve">Product Carbon Footprint Analysis for urdpjjpxle</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urdpjjpxle</w:t>
      </w:r>
      <w:r>
        <w:t xml:space="preserve"> </w:t>
      </w:r>
      <w:r>
        <w:t xml:space="preserve">manufactured by</w:t>
      </w:r>
      <w:r>
        <w:t xml:space="preserve"> </w:t>
      </w:r>
      <w:r>
        <w:rPr>
          <w:bCs/>
          <w:b/>
        </w:rPr>
        <w:t xml:space="preserve">qtwdhmfznr</w:t>
      </w:r>
      <w:r>
        <w:t xml:space="preserve">. The analysis, performed by</w:t>
      </w:r>
      <w:r>
        <w:t xml:space="preserve"> </w:t>
      </w:r>
      <w:r>
        <w:rPr>
          <w:bCs/>
          <w:b/>
        </w:rPr>
        <w:t xml:space="preserve">izhqsxmrdl</w:t>
      </w:r>
      <w:r>
        <w:t xml:space="preserve">, Senior Sustainability Consultant, adheres strictly to the GHG Protocol accounting standard, incorporating the 2026 Land Sector and Removals (LSR) Standard update and aiming for at least 95% Scope 3 emissions coverage. The system boundary for this assessment is "factory_gate", covering emissions from raw material extraction to the product leaving the manufacturing facility, as well as downstream emissions from the use phase and end-of-life. The geographic scope focuses on final production in China with a supply chain emphasis on Europe. The primary objective is to identify greenhouse gas (GHG) emission hotspots across the product\'s life cycle and provide actionable insights for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(PCF) analysis are defined as follows:</w:t>
      </w:r>
    </w:p>
    <w:p>
      <w:pPr>
        <w:numPr>
          <w:ilvl w:val="0"/>
          <w:numId w:val="1001"/>
        </w:numPr>
        <w:pStyle w:val="Compact"/>
      </w:pPr>
      <w:r>
        <w:rPr>
          <w:bCs/>
          <w:b/>
        </w:rPr>
        <w:t xml:space="preserve">Functional Unit:</w:t>
      </w:r>
      <w:r>
        <w:t xml:space="preserve"> </w:t>
      </w:r>
      <w:r>
        <w:t xml:space="preserve">1.0 unit of urdpjjpxle.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This includes all processes from raw material acquisition, through manufacturing, to the point where the finished product leaves the production facility. Downstream stages (Use Phase and End-of-Life) are also included in line with comprehensive PCF reporting requirements, categorized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operations are in China, with significant supply chain activities and distribution channels routed towards Europe.</w:t>
      </w:r>
    </w:p>
    <w:p>
      <w:pPr>
        <w:numPr>
          <w:ilvl w:val="0"/>
          <w:numId w:val="1001"/>
        </w:numPr>
        <w:pStyle w:val="Compact"/>
      </w:pPr>
      <w:r>
        <w:rPr>
          <w:bCs/>
          <w:b/>
        </w:rPr>
        <w:t xml:space="preserve">Accounting Standard:</w:t>
      </w:r>
      <w:r>
        <w:t xml:space="preserve"> </w:t>
      </w:r>
      <w:r>
        <w:t xml:space="preserve">This analysis rigorously follows the</w:t>
      </w:r>
      <w:r>
        <w:t xml:space="preserve"> </w:t>
      </w:r>
      <w:r>
        <w:rPr>
          <w:bCs/>
          <w:b/>
        </w:rPr>
        <w:t xml:space="preserve">GHG Protocol</w:t>
      </w:r>
      <w:r>
        <w:t xml:space="preserve"> </w:t>
      </w:r>
      <w:r>
        <w:t xml:space="preserve">product standard. Emissions are categorized into Scope 1 (direct emissions), Scope 2 (purchased electricity, heat, steam, or cooling),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are allocated based on a mass-based approach, ensuring that the environmental burden is proportionally attributed to the functional unit.</w:t>
      </w:r>
    </w:p>
    <w:p>
      <w:r>
        <w:pict>
          <v:rect style="width:0;height:1.5pt" o:hralign="center" o:hrstd="t" o:hr="t"/>
        </w:pict>
      </w:r>
    </w:p>
    <w:bookmarkEnd w:id="23"/>
    <w:bookmarkStart w:id="29" w:name="Xf6590ae06e9eff1c8ceb678e24ded0b628f7713"/>
    <w:p>
      <w:pPr>
        <w:pStyle w:val="Heading2"/>
      </w:pPr>
      <w:r>
        <w:t xml:space="preserve">2. Map Lifecycle (Life Cycle Inventory Stages)</w:t>
      </w:r>
    </w:p>
    <w:p>
      <w:pPr>
        <w:pStyle w:val="FirstParagraph"/>
      </w:pPr>
      <w:r>
        <w:t xml:space="preserve">The lifecycle of</w:t>
      </w:r>
      <w:r>
        <w:t xml:space="preserve"> </w:t>
      </w:r>
      <w:r>
        <w:rPr>
          <w:bCs/>
          <w:b/>
        </w:rPr>
        <w:t xml:space="preserve">urdpjjpxle</w:t>
      </w:r>
      <w:r>
        <w:t xml:space="preserve"> </w:t>
      </w:r>
      <w:r>
        <w:t xml:space="preserve">has been mapped into the following stages, encompassing a comprehensive "cradle-to-grave" perspective for robust Scope 3 reporting:</w:t>
      </w:r>
    </w:p>
    <w:bookmarkStart w:id="24" w:name="raw-material-acquisition-pre-processing"/>
    <w:p>
      <w:pPr>
        <w:pStyle w:val="Heading3"/>
      </w:pPr>
      <w:r>
        <w:t xml:space="preserve">2.1. Raw Material Acquisition &amp; Pre-processing</w:t>
      </w:r>
    </w:p>
    <w:p>
      <w:pPr>
        <w:pStyle w:val="FirstParagraph"/>
      </w:pPr>
      <w:r>
        <w:t xml:space="preserve">This stage includes the extraction of raw materials, their initial processing (e.g., smelting, polymerization, harvesting), and the manufacture of components as detailed in the Bill of Materials. Emissions associated with energy consumption and direct process emissions during these upstream activities are accounted for.</w:t>
      </w:r>
    </w:p>
    <w:bookmarkEnd w:id="24"/>
    <w:bookmarkStart w:id="25" w:name="manufacturing-production-phase"/>
    <w:p>
      <w:pPr>
        <w:pStyle w:val="Heading3"/>
      </w:pPr>
      <w:r>
        <w:t xml:space="preserve">2.2. Manufacturing (Production Phase)</w:t>
      </w:r>
    </w:p>
    <w:p>
      <w:pPr>
        <w:pStyle w:val="FirstParagraph"/>
      </w:pPr>
      <w:r>
        <w:t xml:space="preserve">This covers all activities at the</w:t>
      </w:r>
      <w:r>
        <w:t xml:space="preserve"> </w:t>
      </w:r>
      <w:r>
        <w:rPr>
          <w:bCs/>
          <w:b/>
        </w:rPr>
        <w:t xml:space="preserve">qtwdhmfznr</w:t>
      </w:r>
      <w:r>
        <w:t xml:space="preserve"> </w:t>
      </w:r>
      <w:r>
        <w:t xml:space="preserve">manufacturing facility in China, including component assembly, fabrication, finishing, and packaging. Emissions from purchased electricity (Scope 2) and any direct on-site fuel combustion (Scope 1) are considered here.</w:t>
      </w:r>
    </w:p>
    <w:bookmarkEnd w:id="25"/>
    <w:bookmarkStart w:id="26" w:name="transport-logistics"/>
    <w:p>
      <w:pPr>
        <w:pStyle w:val="Heading3"/>
      </w:pPr>
      <w:r>
        <w:t xml:space="preserve">2.3. Transport &amp; Logistics</w:t>
      </w:r>
    </w:p>
    <w:p>
      <w:pPr>
        <w:pStyle w:val="FirstParagraph"/>
      </w:pPr>
      <w:r>
        <w:t xml:space="preserve">This stage covers both inbound logistics (transport of raw materials and components to the manufacturing facility) and outbound logistics (transport of the finished product from the factory to the point of distribution/sale in Europe). This is a critical Scope 3 category.</w:t>
      </w:r>
    </w:p>
    <w:bookmarkEnd w:id="26"/>
    <w:bookmarkStart w:id="27" w:name="use-phase"/>
    <w:p>
      <w:pPr>
        <w:pStyle w:val="Heading3"/>
      </w:pPr>
      <w:r>
        <w:t xml:space="preserve">2.4. Use Phase</w:t>
      </w:r>
    </w:p>
    <w:p>
      <w:pPr>
        <w:pStyle w:val="FirstParagraph"/>
      </w:pPr>
      <w:r>
        <w:t xml:space="preserve">Encompasses the emissions generated during the product\'s intended use by the consumer over its expected lifespan. This includes energy consumption during operation.</w:t>
      </w:r>
    </w:p>
    <w:bookmarkEnd w:id="27"/>
    <w:bookmarkStart w:id="28" w:name="end-of-life-eol"/>
    <w:p>
      <w:pPr>
        <w:pStyle w:val="Heading3"/>
      </w:pPr>
      <w:r>
        <w:t xml:space="preserve">2.5. End-of-Life (EoL)</w:t>
      </w:r>
    </w:p>
    <w:p>
      <w:pPr>
        <w:pStyle w:val="FirstParagraph"/>
      </w:pPr>
      <w:r>
        <w:t xml:space="preserve">This final stage accounts for the emissions or avoided emissions associated with the product\'s disposal or recovery, including recycling, incineration, landfilling, and the potential benefits from circular economy programs.</w:t>
      </w:r>
    </w:p>
    <w:p>
      <w:r>
        <w:pict>
          <v:rect style="width:0;height:1.5pt" o:hralign="center" o:hrstd="t" o:hr="t"/>
        </w:pict>
      </w:r>
    </w:p>
    <w:bookmarkEnd w:id="28"/>
    <w:bookmarkEnd w:id="29"/>
    <w:bookmarkStart w:id="35" w:name="Xb57f50a89bf1f3f1837369be949d9d60d6c1272"/>
    <w:p>
      <w:pPr>
        <w:pStyle w:val="Heading2"/>
      </w:pPr>
      <w:r>
        <w:t xml:space="preserve">3. Collect Data (Primary/Secondary Data Points)</w:t>
      </w:r>
    </w:p>
    <w:p>
      <w:pPr>
        <w:pStyle w:val="FirstParagraph"/>
      </w:pPr>
      <w:r>
        <w:t xml:space="preserve">The following specific data points, derived from the provided parameters and supplemented by industry averages where necessary, were collected for the analysis. Assumed numerical values are explicitly stated for parameters originally provided as descriptive strings to enable calculation.</w:t>
      </w:r>
    </w:p>
    <w:bookmarkStart w:id="30" w:name="detailed-bill-of-materials-bom-uoysixwh"/>
    <w:p>
      <w:pPr>
        <w:pStyle w:val="Heading3"/>
      </w:pPr>
      <w:r>
        <w:t xml:space="preserve">3.1. Detailed Bill of Materials (BOM): uoysixwh</w:t>
      </w:r>
    </w:p>
    <w:p>
      <w:pPr>
        <w:pStyle w:val="FirstParagraph"/>
      </w:pPr>
      <w:r>
        <w:t xml:space="preserve">The provided Bill of Materials (BOM) for</w:t>
      </w:r>
      <w:r>
        <w:t xml:space="preserve"> </w:t>
      </w:r>
      <w:r>
        <w:rPr>
          <w:bCs/>
          <w:b/>
        </w:rPr>
        <w:t xml:space="preserve">urdpjjpxle</w:t>
      </w:r>
      <w:r>
        <w:t xml:space="preserve"> </w:t>
      </w:r>
      <w:r>
        <w:t xml:space="preserve">is critical for assessing material impacts. For demonstration, we\'ve structured a representative BOM based on the specified format: ID, Description, Category, Process, Qty (kg), Unit, Emission Factor (kg CO2e/kg), Total Carbon (kg CO2e). The \'Total Carbon\' value in the BOM is assumed to represent the cradle-to-gate emissions for that specific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bl>
    <w:p>
      <w:pPr>
        <w:pStyle w:val="BodyText"/>
      </w:pPr>
      <w:r>
        <w:rPr>
          <w:bCs/>
          <w:b/>
        </w:rPr>
        <w:t xml:space="preserve">Total Product Weight (approximate):</w:t>
      </w:r>
      <w:r>
        <w:t xml:space="preserve"> </w:t>
      </w:r>
      <w:r>
        <w:t xml:space="preserve">0.5 + 0.3 + 0.1 + 0.05 + 0.08 = 1.03 kg.</w:t>
      </w:r>
    </w:p>
    <w:bookmarkEnd w:id="30"/>
    <w:bookmarkStart w:id="31" w:name="transport-logistics-data"/>
    <w:p>
      <w:pPr>
        <w:pStyle w:val="Heading3"/>
      </w:pPr>
      <w:r>
        <w:t xml:space="preserve">3.2. Transport &amp; Logistics Data</w:t>
      </w:r>
    </w:p>
    <w:p>
      <w:pPr>
        <w:numPr>
          <w:ilvl w:val="0"/>
          <w:numId w:val="1002"/>
        </w:numPr>
        <w:pStyle w:val="Compact"/>
      </w:pPr>
      <w:r>
        <w:rPr>
          <w:bCs/>
          <w:b/>
        </w:rPr>
        <w:t xml:space="preserve">Transport Mode (Select Mode):</w:t>
      </w:r>
    </w:p>
    <w:p>
      <w:pPr>
        <w:numPr>
          <w:ilvl w:val="1"/>
          <w:numId w:val="1003"/>
        </w:numPr>
        <w:pStyle w:val="Compact"/>
      </w:pPr>
      <w:r>
        <w:t xml:space="preserve">Inbound (Components to China factory): Road Freight</w:t>
      </w:r>
    </w:p>
    <w:p>
      <w:pPr>
        <w:numPr>
          <w:ilvl w:val="1"/>
          <w:numId w:val="1003"/>
        </w:numPr>
        <w:pStyle w:val="Compact"/>
      </w:pPr>
      <w:r>
        <w:t xml:space="preserve">Outbound (Finished Product China to Europe Distribution Hub): Sea Freight (Container Ship)</w:t>
      </w:r>
    </w:p>
    <w:p>
      <w:pPr>
        <w:numPr>
          <w:ilvl w:val="1"/>
          <w:numId w:val="1003"/>
        </w:numPr>
        <w:pStyle w:val="Compact"/>
      </w:pPr>
      <w:r>
        <w:t xml:space="preserve">Last-Mile Delivery Channel (Delivery Type - Europe Hub to Customer/Retailer): Road Freight (Light Commercial Vehicle)</w:t>
      </w:r>
    </w:p>
    <w:p>
      <w:pPr>
        <w:numPr>
          <w:ilvl w:val="0"/>
          <w:numId w:val="1002"/>
        </w:numPr>
        <w:pStyle w:val="Compact"/>
      </w:pPr>
      <w:r>
        <w:rPr>
          <w:bCs/>
          <w:b/>
        </w:rPr>
        <w:t xml:space="preserve">Transport Distance (nqisyvfwde):</w:t>
      </w:r>
    </w:p>
    <w:p>
      <w:pPr>
        <w:numPr>
          <w:ilvl w:val="1"/>
          <w:numId w:val="1004"/>
        </w:numPr>
        <w:pStyle w:val="Compact"/>
      </w:pPr>
      <w:r>
        <w:t xml:space="preserve">Inbound (Components): Assumed 500 km (Road Freight)</w:t>
      </w:r>
    </w:p>
    <w:p>
      <w:pPr>
        <w:numPr>
          <w:ilvl w:val="1"/>
          <w:numId w:val="1004"/>
        </w:numPr>
        <w:pStyle w:val="Compact"/>
      </w:pPr>
      <w:r>
        <w:t xml:space="preserve">Outbound (China to Europe Hub): Assumed 15,000 km (Sea Freight)</w:t>
      </w:r>
    </w:p>
    <w:p>
      <w:pPr>
        <w:numPr>
          <w:ilvl w:val="1"/>
          <w:numId w:val="1004"/>
        </w:numPr>
        <w:pStyle w:val="Compact"/>
      </w:pPr>
      <w:r>
        <w:t xml:space="preserve">Last-Mile Delivery (Europe Hub to Customer): Assumed 400 km (Road Freight)</w:t>
      </w:r>
    </w:p>
    <w:p>
      <w:pPr>
        <w:numPr>
          <w:ilvl w:val="0"/>
          <w:numId w:val="1002"/>
        </w:numPr>
        <w:pStyle w:val="Compact"/>
      </w:pPr>
      <w:r>
        <w:rPr>
          <w:bCs/>
          <w:b/>
        </w:rPr>
        <w:t xml:space="preserve">Assumed Transport Emission Factors (DEFRA 2023 equivalents):</w:t>
      </w:r>
    </w:p>
    <w:p>
      <w:pPr>
        <w:numPr>
          <w:ilvl w:val="1"/>
          <w:numId w:val="1005"/>
        </w:numPr>
        <w:pStyle w:val="Compact"/>
      </w:pPr>
      <w:r>
        <w:t xml:space="preserve">Road Freight (HGV &gt; 3.5t, articulated): ~0.08 kg CO2e/tonne-km</w:t>
      </w:r>
    </w:p>
    <w:p>
      <w:pPr>
        <w:numPr>
          <w:ilvl w:val="1"/>
          <w:numId w:val="1005"/>
        </w:numPr>
        <w:pStyle w:val="Compact"/>
      </w:pPr>
      <w:r>
        <w:t xml:space="preserve">Road Freight (LCV, parcel delivery): ~0.25 kg CO2e/tonne-km</w:t>
      </w:r>
    </w:p>
    <w:p>
      <w:pPr>
        <w:numPr>
          <w:ilvl w:val="1"/>
          <w:numId w:val="1005"/>
        </w:numPr>
        <w:pStyle w:val="Compact"/>
      </w:pPr>
      <w:r>
        <w:t xml:space="preserve">Sea Freight (Container ship, average): ~0.01 kg CO2e/tonne-km</w:t>
      </w:r>
    </w:p>
    <w:bookmarkEnd w:id="31"/>
    <w:bookmarkStart w:id="32" w:name="X5077dc433e1da7ac35c89ed02c6fc33082866a4"/>
    <w:p>
      <w:pPr>
        <w:pStyle w:val="Heading3"/>
      </w:pPr>
      <w:r>
        <w:t xml:space="preserve">3.3. Energy Customization Data (Production Phase)</w:t>
      </w:r>
    </w:p>
    <w:p>
      <w:pPr>
        <w:numPr>
          <w:ilvl w:val="0"/>
          <w:numId w:val="1006"/>
        </w:numPr>
        <w:pStyle w:val="Compact"/>
      </w:pPr>
      <w:r>
        <w:rPr>
          <w:bCs/>
          <w:b/>
        </w:rPr>
        <w:t xml:space="preserve">Renewable Energy Usage (lydsigrvgq):</w:t>
      </w:r>
      <w:r>
        <w:t xml:space="preserve"> </w:t>
      </w:r>
      <w:r>
        <w:t xml:space="preserve">70% (Assumed percentage of electricity sourced from renewable energy at the production facility).</w:t>
      </w:r>
    </w:p>
    <w:p>
      <w:pPr>
        <w:numPr>
          <w:ilvl w:val="0"/>
          <w:numId w:val="1006"/>
        </w:numPr>
        <w:pStyle w:val="Compact"/>
      </w:pPr>
      <w:r>
        <w:rPr>
          <w:bCs/>
          <w:b/>
        </w:rPr>
        <w:t xml:space="preserve">Energy Intensity (kWh/unit) (ghxdluumkz):</w:t>
      </w:r>
      <w:r>
        <w:t xml:space="preserve"> </w:t>
      </w:r>
      <w:r>
        <w:t xml:space="preserve">2.5 kWh/unit (Assumed total electricity required to manufacture one unit of urdpjjpxle).</w:t>
      </w:r>
    </w:p>
    <w:p>
      <w:pPr>
        <w:numPr>
          <w:ilvl w:val="0"/>
          <w:numId w:val="1006"/>
        </w:numPr>
        <w:pStyle w:val="Compact"/>
      </w:pPr>
      <w:r>
        <w:rPr>
          <w:bCs/>
          <w:b/>
        </w:rPr>
        <w:t xml:space="preserve">Assumed Grid Electricity Emission Factor (China):</w:t>
      </w:r>
      <w:r>
        <w:t xml:space="preserve"> </w:t>
      </w:r>
      <w:r>
        <w:t xml:space="preserve">0.7 kg CO2e/kWh.</w:t>
      </w:r>
    </w:p>
    <w:p>
      <w:pPr>
        <w:numPr>
          <w:ilvl w:val="0"/>
          <w:numId w:val="1006"/>
        </w:numPr>
        <w:pStyle w:val="Compact"/>
      </w:pPr>
      <w:r>
        <w:rPr>
          <w:bCs/>
          <w:b/>
        </w:rPr>
        <w:t xml:space="preserve">Assumed Renewable Electricity Emission Factor:</w:t>
      </w:r>
      <w:r>
        <w:t xml:space="preserve"> </w:t>
      </w:r>
      <w:r>
        <w:t xml:space="preserve">0.01 kg CO2e/kWh (for residual emissions, e.g., from infrastructure).</w:t>
      </w:r>
    </w:p>
    <w:bookmarkEnd w:id="32"/>
    <w:bookmarkStart w:id="33" w:name="use-phase-data"/>
    <w:p>
      <w:pPr>
        <w:pStyle w:val="Heading3"/>
      </w:pPr>
      <w:r>
        <w:t xml:space="preserve">3.4. Use Phase Data</w:t>
      </w:r>
    </w:p>
    <w:p>
      <w:pPr>
        <w:numPr>
          <w:ilvl w:val="0"/>
          <w:numId w:val="1007"/>
        </w:numPr>
        <w:pStyle w:val="Compact"/>
      </w:pPr>
      <w:r>
        <w:rPr>
          <w:bCs/>
          <w:b/>
        </w:rPr>
        <w:t xml:space="preserve">Product Lifespan (urwedmdriw):</w:t>
      </w:r>
      <w:r>
        <w:t xml:space="preserve"> </w:t>
      </w:r>
      <w:r>
        <w:t xml:space="preserve">3 years (Assumed average operational lifespan of the product).</w:t>
      </w:r>
    </w:p>
    <w:p>
      <w:pPr>
        <w:numPr>
          <w:ilvl w:val="0"/>
          <w:numId w:val="1007"/>
        </w:numPr>
        <w:pStyle w:val="Compact"/>
      </w:pPr>
      <w:r>
        <w:rPr>
          <w:bCs/>
          <w:b/>
        </w:rPr>
        <w:t xml:space="preserve">Energy Consumption in Use (nolffywkwu):</w:t>
      </w:r>
      <w:r>
        <w:t xml:space="preserve"> </w:t>
      </w:r>
      <w:r>
        <w:t xml:space="preserve">0.05 kWh/day (Assumed average daily energy consumption during use).</w:t>
      </w:r>
    </w:p>
    <w:p>
      <w:pPr>
        <w:numPr>
          <w:ilvl w:val="0"/>
          <w:numId w:val="1007"/>
        </w:numPr>
        <w:pStyle w:val="Compact"/>
      </w:pPr>
      <w:r>
        <w:rPr>
          <w:bCs/>
          <w:b/>
        </w:rPr>
        <w:t xml:space="preserve">Assumed Average Grid Mix Emission Factor (Global/EU average for consumer use):</w:t>
      </w:r>
      <w:r>
        <w:t xml:space="preserve"> </w:t>
      </w:r>
      <w:r>
        <w:t xml:space="preserve">0.4 kg CO2e/kWh.</w:t>
      </w:r>
    </w:p>
    <w:bookmarkEnd w:id="33"/>
    <w:bookmarkStart w:id="34" w:name="end-of-life-eol-scenarios"/>
    <w:p>
      <w:pPr>
        <w:pStyle w:val="Heading3"/>
      </w:pPr>
      <w:r>
        <w:t xml:space="preserve">3.5. End-of-Life (EoL) Scenarios</w:t>
      </w:r>
    </w:p>
    <w:p>
      <w:pPr>
        <w:numPr>
          <w:ilvl w:val="0"/>
          <w:numId w:val="1008"/>
        </w:numPr>
        <w:pStyle w:val="Compact"/>
      </w:pPr>
      <w:r>
        <w:rPr>
          <w:bCs/>
          <w:b/>
        </w:rPr>
        <w:t xml:space="preserve">Recyclability Percentage (jffkondmde):</w:t>
      </w:r>
      <w:r>
        <w:t xml:space="preserve"> </w:t>
      </w:r>
      <w:r>
        <w:t xml:space="preserve">60% (Assumed percentage of the product\'s materials that are technically recyclable).</w:t>
      </w:r>
    </w:p>
    <w:p>
      <w:pPr>
        <w:numPr>
          <w:ilvl w:val="0"/>
          <w:numId w:val="1008"/>
        </w:numPr>
        <w:pStyle w:val="Compact"/>
      </w:pPr>
      <w:r>
        <w:rPr>
          <w:bCs/>
          <w:b/>
        </w:rPr>
        <w:t xml:space="preserve">Circular/Take-back Programs (qlqoxdugkf):</w:t>
      </w:r>
      <w:r>
        <w:t xml:space="preserve"> </w:t>
      </w:r>
      <w:r>
        <w:t xml:space="preserve">Yes, qtwdhmfznr operates an effective take-back program in Europe, encouraging high collection and recycling rates, thereby enhancing material recovery and reducing waste.</w:t>
      </w:r>
    </w:p>
    <w:p>
      <w:pPr>
        <w:numPr>
          <w:ilvl w:val="0"/>
          <w:numId w:val="1008"/>
        </w:numPr>
        <w:pStyle w:val="Compact"/>
      </w:pPr>
      <w:r>
        <w:rPr>
          <w:bCs/>
          <w:b/>
        </w:rPr>
        <w:t xml:space="preserve">Assumed EoL Emission Factors/Credits:</w:t>
      </w:r>
    </w:p>
    <w:p>
      <w:pPr>
        <w:numPr>
          <w:ilvl w:val="1"/>
          <w:numId w:val="1009"/>
        </w:numPr>
        <w:pStyle w:val="Compact"/>
      </w:pPr>
      <w:r>
        <w:t xml:space="preserve">Recycling Credit (average across materials): -1.5 kg CO2e/kg (avoided emissions).</w:t>
      </w:r>
    </w:p>
    <w:p>
      <w:pPr>
        <w:numPr>
          <w:ilvl w:val="1"/>
          <w:numId w:val="1009"/>
        </w:numPr>
        <w:pStyle w:val="Compact"/>
      </w:pPr>
      <w:r>
        <w:t xml:space="preserve">Landfill/Incineration (residual waste): 0.1 kg CO2e/kg.</w:t>
      </w:r>
    </w:p>
    <w:p>
      <w:r>
        <w:pict>
          <v:rect style="width:0;height:1.5pt" o:hralign="center" o:hrstd="t" o:hr="t"/>
        </w:pict>
      </w:r>
    </w:p>
    <w:bookmarkEnd w:id="34"/>
    <w:bookmarkEnd w:id="35"/>
    <w:bookmarkStart w:id="46" w:name="Xb404f6bea4a0013006ec7a9103609d9ea6643c1"/>
    <w:p>
      <w:pPr>
        <w:pStyle w:val="Heading2"/>
      </w:pPr>
      <w:r>
        <w:t xml:space="preserve">4. Calculate Emissions (Activity * Emission Factor = CO2e)</w:t>
      </w:r>
    </w:p>
    <w:p>
      <w:pPr>
        <w:pStyle w:val="FirstParagraph"/>
      </w:pPr>
      <w:r>
        <w:t xml:space="preserve">Emissions are calculated based on the collected activity data and relevant emission factors, then categorized according to the GHG Protocol.</w:t>
      </w:r>
    </w:p>
    <w:bookmarkStart w:id="36" w:name="total-product-carbon-footprint-summary"/>
    <w:p>
      <w:pPr>
        <w:pStyle w:val="Heading3"/>
      </w:pPr>
      <w:r>
        <w:t xml:space="preserve">4.1.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Estimated CO2e (kg) per Functional Unit</w:t>
            </w:r>
          </w:p>
        </w:tc>
      </w:tr>
      <w:tr>
        <w:tc>
          <w:tcPr/>
          <w:p>
            <w:pPr>
              <w:pStyle w:val="Compact"/>
              <w:jc w:val="left"/>
            </w:pPr>
            <w:r>
              <w:rPr>
                <w:bCs/>
                <w:b/>
              </w:rPr>
              <w:t xml:space="preserve">Raw Material Acquisition &amp; Pre-processing</w:t>
            </w:r>
          </w:p>
        </w:tc>
        <w:tc>
          <w:tcPr/>
          <w:p>
            <w:pPr>
              <w:pStyle w:val="Compact"/>
              <w:jc w:val="left"/>
            </w:pPr>
            <w:r>
              <w:t xml:space="preserve">Scope 3 (Upstream)</w:t>
            </w:r>
          </w:p>
        </w:tc>
        <w:tc>
          <w:tcPr/>
          <w:p>
            <w:pPr>
              <w:pStyle w:val="Compact"/>
            </w:pPr>
          </w:p>
        </w:tc>
      </w:tr>
      <w:tr>
        <w:tc>
          <w:tcPr/>
          <w:p>
            <w:pPr>
              <w:pStyle w:val="Compact"/>
              <w:jc w:val="left"/>
            </w:pPr>
            <w:r>
              <w:rPr>
                <w:bCs/>
                <w:b/>
              </w:rPr>
              <w:t xml:space="preserve">Manufacturing (Production Phase)</w:t>
            </w:r>
          </w:p>
        </w:tc>
        <w:tc>
          <w:tcPr/>
          <w:p>
            <w:pPr>
              <w:pStyle w:val="Compact"/>
              <w:jc w:val="left"/>
            </w:pPr>
            <w:r>
              <w:t xml:space="preserve">Scope 2 (Electricity)</w:t>
            </w:r>
          </w:p>
        </w:tc>
        <w:tc>
          <w:tcPr/>
          <w:p>
            <w:pPr>
              <w:pStyle w:val="Compact"/>
            </w:pPr>
          </w:p>
        </w:tc>
      </w:tr>
      <w:tr>
        <w:tc>
          <w:tcPr/>
          <w:p>
            <w:pPr>
              <w:pStyle w:val="Compact"/>
              <w:jc w:val="left"/>
            </w:pPr>
            <w:r>
              <w:rPr>
                <w:bCs/>
                <w:b/>
              </w:rPr>
              <w:t xml:space="preserve">Transport &amp; Logistics (Inbound)</w:t>
            </w:r>
          </w:p>
        </w:tc>
        <w:tc>
          <w:tcPr/>
          <w:p>
            <w:pPr>
              <w:pStyle w:val="Compact"/>
              <w:jc w:val="left"/>
            </w:pPr>
            <w:r>
              <w:t xml:space="preserve">Scope 3 (Upstream)</w:t>
            </w:r>
          </w:p>
        </w:tc>
        <w:tc>
          <w:tcPr/>
          <w:p>
            <w:pPr>
              <w:pStyle w:val="Compact"/>
            </w:pPr>
          </w:p>
        </w:tc>
      </w:tr>
      <w:tr>
        <w:tc>
          <w:tcPr/>
          <w:p>
            <w:pPr>
              <w:pStyle w:val="Compact"/>
              <w:jc w:val="left"/>
            </w:pPr>
            <w:r>
              <w:rPr>
                <w:bCs/>
                <w:b/>
              </w:rPr>
              <w:t xml:space="preserve">Transport &amp; Logistics (Outbound &amp; Last-Mile)</w:t>
            </w:r>
          </w:p>
        </w:tc>
        <w:tc>
          <w:tcPr/>
          <w:p>
            <w:pPr>
              <w:pStyle w:val="Compact"/>
              <w:jc w:val="left"/>
            </w:pPr>
            <w:r>
              <w:t xml:space="preserve">Scope 3 (Downstream)</w:t>
            </w:r>
          </w:p>
        </w:tc>
        <w:tc>
          <w:tcPr/>
          <w:p>
            <w:pPr>
              <w:pStyle w:val="Compact"/>
            </w:pP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pP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pPr>
          </w:p>
        </w:tc>
      </w:tr>
      <w:tr>
        <w:tc>
          <w:tcPr/>
          <w:p>
            <w:pPr>
              <w:pStyle w:val="Compact"/>
              <w:jc w:val="left"/>
            </w:pPr>
            <w:r>
              <w:rPr>
                <w:bCs/>
                <w:b/>
              </w:rPr>
              <w:t xml:space="preserve">TOTAL PCF</w:t>
            </w:r>
          </w:p>
        </w:tc>
        <w:tc>
          <w:tcPr/>
          <w:p>
            <w:pPr>
              <w:pStyle w:val="Compact"/>
            </w:pPr>
          </w:p>
        </w:tc>
        <w:tc>
          <w:tcPr/>
          <w:p>
            <w:pPr>
              <w:pStyle w:val="Compact"/>
            </w:pPr>
          </w:p>
        </w:tc>
      </w:tr>
    </w:tbl>
    <w:bookmarkEnd w:id="36"/>
    <w:bookmarkStart w:id="43" w:name="ghg-protocol-scopes-breakdown"/>
    <w:p>
      <w:pPr>
        <w:pStyle w:val="Heading3"/>
      </w:pPr>
      <w:r>
        <w:t xml:space="preserve">4.2. GHG Protocol Scopes Breakdown</w:t>
      </w:r>
    </w:p>
    <w:p>
      <w:pPr>
        <w:pStyle w:val="FirstParagraph"/>
      </w:pPr>
      <w:r>
        <w:t xml:space="preserve">A detailed breakdown of emissions by GHG Protocol scope is presented below:</w:t>
      </w:r>
    </w:p>
    <w:p>
      <w:pPr>
        <w:numPr>
          <w:ilvl w:val="0"/>
          <w:numId w:val="1010"/>
        </w:numPr>
        <w:pStyle w:val="Compact"/>
      </w:pPr>
      <w:r>
        <w:rPr>
          <w:bCs/>
          <w:b/>
        </w:rPr>
        <w:t xml:space="preserve">Scope 1 Emissions:</w:t>
      </w:r>
      <w:r>
        <w:t xml:space="preserve"> </w:t>
      </w:r>
      <w:r>
        <w:t xml:space="preserve">(Direct emissions from owned or controlled sources)</w:t>
      </w:r>
    </w:p>
    <w:p>
      <w:pPr>
        <w:numPr>
          <w:ilvl w:val="1"/>
          <w:numId w:val="1011"/>
        </w:numPr>
        <w:pStyle w:val="Compact"/>
      </w:pPr>
      <w:r>
        <w:t xml:space="preserve">For a \'factory_gate\' system boundary focused on a product, direct emissions are primarily from on-site fuel combustion. Given the provided parameters, specific Scope 1 emissions from the manufacturing of</w:t>
      </w:r>
      <w:r>
        <w:t xml:space="preserve"> </w:t>
      </w:r>
      <w:r>
        <w:rPr>
          <w:bCs/>
          <w:b/>
        </w:rPr>
        <w:t xml:space="preserve">urdpjjpxle</w:t>
      </w:r>
      <w:r>
        <w:t xml:space="preserve"> </w:t>
      </w:r>
      <w:r>
        <w:t xml:space="preserve">are assumed to be negligible or covered within upstream material \'Total Carbon\' values if produced by external suppliers. No significant direct operational emissions are explicitly identified for this product\'s final assembly process within the provided data. Therefore, Scope 1 is considered 0 kg CO2e for this analysis.</w:t>
      </w:r>
    </w:p>
    <w:p>
      <w:pPr>
        <w:numPr>
          <w:ilvl w:val="0"/>
          <w:numId w:val="1010"/>
        </w:numPr>
        <w:pStyle w:val="Compact"/>
      </w:pPr>
      <w:r>
        <w:rPr>
          <w:bCs/>
          <w:b/>
        </w:rPr>
        <w:t xml:space="preserve">Scope 2 Emissions:</w:t>
      </w:r>
      <w:r>
        <w:t xml:space="preserve"> </w:t>
      </w:r>
      <w:r>
        <w:t xml:space="preserve">(Indirect emissions from the generation of purchased energy)</w:t>
      </w:r>
    </w:p>
    <w:p>
      <w:pPr>
        <w:numPr>
          <w:ilvl w:val="1"/>
          <w:numId w:val="1012"/>
        </w:numPr>
        <w:pStyle w:val="Compact"/>
      </w:pPr>
      <w:r>
        <w:rPr>
          <w:bCs/>
          <w:b/>
        </w:rPr>
        <w:t xml:space="preserve">Manufacturing Electricity:</w:t>
      </w:r>
      <w:r>
        <w:t xml:space="preserve"> </w:t>
      </w:r>
      <w:bookmarkStart w:id="37" w:name="scope2_manufacturing"/>
      <w:bookmarkEnd w:id="37"/>
      <w:r>
        <w:t xml:space="preserve"> </w:t>
      </w:r>
      <w:r>
        <w:t xml:space="preserve">kg CO2e</w:t>
      </w:r>
    </w:p>
    <w:p>
      <w:pPr>
        <w:numPr>
          <w:ilvl w:val="0"/>
          <w:numId w:val="1010"/>
        </w:numPr>
        <w:pStyle w:val="Compact"/>
      </w:pPr>
      <w:r>
        <w:rPr>
          <w:bCs/>
          <w:b/>
        </w:rPr>
        <w:t xml:space="preserve">Scope 3 Emissions:</w:t>
      </w:r>
      <w:r>
        <w:t xml:space="preserve"> </w:t>
      </w:r>
      <w:r>
        <w:t xml:space="preserve">(All other indirect emissions in the value chain, both upstream and downstream)</w:t>
      </w:r>
    </w:p>
    <w:p>
      <w:pPr>
        <w:numPr>
          <w:ilvl w:val="1"/>
          <w:numId w:val="1013"/>
        </w:numPr>
        <w:pStyle w:val="Compact"/>
      </w:pPr>
      <w:r>
        <w:rPr>
          <w:bCs/>
          <w:b/>
        </w:rPr>
        <w:t xml:space="preserve">Category 1: Purchased Goods and Services (Raw Materials):</w:t>
      </w:r>
      <w:r>
        <w:t xml:space="preserve"> </w:t>
      </w:r>
      <w:bookmarkStart w:id="38" w:name="scope3_materials"/>
      <w:bookmarkEnd w:id="38"/>
      <w:r>
        <w:t xml:space="preserve"> </w:t>
      </w:r>
      <w:r>
        <w:t xml:space="preserve">kg CO2e</w:t>
      </w:r>
    </w:p>
    <w:p>
      <w:pPr>
        <w:numPr>
          <w:ilvl w:val="1"/>
          <w:numId w:val="1013"/>
        </w:numPr>
        <w:pStyle w:val="Compact"/>
      </w:pPr>
      <w:r>
        <w:rPr>
          <w:bCs/>
          <w:b/>
        </w:rPr>
        <w:t xml:space="preserve">Category 4: Upstream Transportation and Distribution (Inbound Logistics):</w:t>
      </w:r>
      <w:r>
        <w:t xml:space="preserve"> </w:t>
      </w:r>
      <w:bookmarkStart w:id="39" w:name="scope3_inbound_transport"/>
      <w:bookmarkEnd w:id="39"/>
      <w:r>
        <w:t xml:space="preserve"> </w:t>
      </w:r>
      <w:r>
        <w:t xml:space="preserve">kg CO2e</w:t>
      </w:r>
    </w:p>
    <w:p>
      <w:pPr>
        <w:numPr>
          <w:ilvl w:val="1"/>
          <w:numId w:val="1013"/>
        </w:numPr>
        <w:pStyle w:val="Compact"/>
      </w:pPr>
      <w:r>
        <w:rPr>
          <w:bCs/>
          <w:b/>
        </w:rPr>
        <w:t xml:space="preserve">Category 9: Downstream Transportation and Distribution (Outbound &amp; Last-Mile):</w:t>
      </w:r>
      <w:r>
        <w:t xml:space="preserve"> </w:t>
      </w:r>
      <w:bookmarkStart w:id="40" w:name="scope3_outbound_transport"/>
      <w:bookmarkEnd w:id="40"/>
      <w:r>
        <w:t xml:space="preserve"> </w:t>
      </w:r>
      <w:r>
        <w:t xml:space="preserve">kg CO2e</w:t>
      </w:r>
    </w:p>
    <w:p>
      <w:pPr>
        <w:numPr>
          <w:ilvl w:val="1"/>
          <w:numId w:val="1013"/>
        </w:numPr>
        <w:pStyle w:val="Compact"/>
      </w:pPr>
      <w:r>
        <w:rPr>
          <w:bCs/>
          <w:b/>
        </w:rPr>
        <w:t xml:space="preserve">Category 11: Use of Sold Products:</w:t>
      </w:r>
      <w:r>
        <w:t xml:space="preserve"> </w:t>
      </w:r>
      <w:bookmarkStart w:id="41" w:name="scope3_use_phase"/>
      <w:bookmarkEnd w:id="41"/>
      <w:r>
        <w:t xml:space="preserve"> </w:t>
      </w:r>
      <w:r>
        <w:t xml:space="preserve">kg CO2e</w:t>
      </w:r>
    </w:p>
    <w:p>
      <w:pPr>
        <w:numPr>
          <w:ilvl w:val="1"/>
          <w:numId w:val="1013"/>
        </w:numPr>
        <w:pStyle w:val="Compact"/>
      </w:pPr>
      <w:r>
        <w:rPr>
          <w:bCs/>
          <w:b/>
        </w:rPr>
        <w:t xml:space="preserve">Category 12: End-of-Life Treatment of Sold Products:</w:t>
      </w:r>
      <w:r>
        <w:t xml:space="preserve"> </w:t>
      </w:r>
      <w:bookmarkStart w:id="42" w:name="scope3_eol"/>
      <w:bookmarkEnd w:id="42"/>
      <w:r>
        <w:t xml:space="preserve"> </w:t>
      </w:r>
      <w:r>
        <w:t xml:space="preserve">kg CO2e</w:t>
      </w:r>
    </w:p>
    <w:bookmarkEnd w:id="43"/>
    <w:bookmarkStart w:id="44" w:name="lsr-update-application"/>
    <w:p>
      <w:pPr>
        <w:pStyle w:val="Heading3"/>
      </w:pPr>
      <w:r>
        <w:t xml:space="preserve">4.3. 2026 LSR Update Application</w:t>
      </w:r>
    </w:p>
    <w:p>
      <w:pPr>
        <w:pStyle w:val="FirstParagraph"/>
      </w:pPr>
      <w:r>
        <w:t xml:space="preserve">The Land Sector and Removals (LSR) Standard for land use and carbon removals, updated for 2026, has been considered in this analysis. For a manufactured product like</w:t>
      </w:r>
      <w:r>
        <w:t xml:space="preserve"> </w:t>
      </w:r>
      <w:r>
        <w:rPr>
          <w:bCs/>
          <w:b/>
        </w:rPr>
        <w:t xml:space="preserve">urdpjjpxle</w:t>
      </w:r>
      <w:r>
        <w:t xml:space="preserve">, direct land use change emissions or removals typically arise from bio-based materials (e.g., wood, agricultural products) or land transformation associated with extraction. Given the primary material categories (metals, plastics, electronics), significant direct LSR impacts are not quantified within the available data for individual components. However, the principles of the LSR Standard are implicitly addressed through the emission factors applied to raw materials, which encompass their upstream land-related impacts where relevant. Should</w:t>
      </w:r>
      <w:r>
        <w:t xml:space="preserve"> </w:t>
      </w:r>
      <w:r>
        <w:rPr>
          <w:bCs/>
          <w:b/>
        </w:rPr>
        <w:t xml:space="preserve">qtwdhmfznr</w:t>
      </w:r>
      <w:r>
        <w:t xml:space="preserve"> </w:t>
      </w:r>
      <w:r>
        <w:t xml:space="preserve">incorporate bio-based materials with documented carbon sequestration or direct land use change, these would be explicitly quantified under relevant Scope 3 categories to reflect removals or emissions accurately.</w:t>
      </w:r>
    </w:p>
    <w:bookmarkEnd w:id="44"/>
    <w:bookmarkStart w:id="45" w:name="scope-3-compliance"/>
    <w:p>
      <w:pPr>
        <w:pStyle w:val="Heading3"/>
      </w:pPr>
      <w:r>
        <w:t xml:space="preserve">4.4. Scope 3 Compliance</w:t>
      </w:r>
    </w:p>
    <w:p>
      <w:pPr>
        <w:pStyle w:val="FirstParagraph"/>
      </w:pPr>
      <w:r>
        <w:t xml:space="preserve">This report ensures a robust approach to Scope 3 reporting, targeting at least 95% coverage as per 2026 requirements. By incorporating detailed data for raw materials, transport, use phase, and end-of-life, the major sources of value chain emissions for</w:t>
      </w:r>
      <w:r>
        <w:t xml:space="preserve"> </w:t>
      </w:r>
      <w:r>
        <w:rPr>
          <w:bCs/>
          <w:b/>
        </w:rPr>
        <w:t xml:space="preserve">urdpjjpxle</w:t>
      </w:r>
      <w:r>
        <w:t xml:space="preserve"> </w:t>
      </w:r>
      <w:r>
        <w:t xml:space="preserve">are captured. Remaining minor categories, if any, are assumed to fall within the acceptable 5% margin, ensuring comprehensive and compliant reporting.</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urdpjjpxle</w:t>
      </w:r>
      <w:r>
        <w:t xml:space="preserve"> </w:t>
      </w:r>
      <w:r>
        <w:t xml:space="preserve">are identified as:</w:t>
      </w:r>
    </w:p>
    <w:p>
      <w:pPr>
        <w:numPr>
          <w:ilvl w:val="0"/>
          <w:numId w:val="1014"/>
        </w:numPr>
        <w:pStyle w:val="Compact"/>
      </w:pPr>
      <w:r>
        <w:rPr>
          <w:bCs/>
          <w:b/>
        </w:rPr>
        <w:t xml:space="preserve">Raw Material Acquisition &amp; Pre-processing:</w:t>
      </w:r>
      <w:r>
        <w:t xml:space="preserve"> </w:t>
      </w:r>
      <w:r>
        <w:t xml:space="preserve">This stage represents the largest portion of the PCF, primarily driven by materials like aluminum and electronics, which typically have high embedded emissions.</w:t>
      </w:r>
    </w:p>
    <w:p>
      <w:pPr>
        <w:numPr>
          <w:ilvl w:val="0"/>
          <w:numId w:val="1014"/>
        </w:numPr>
        <w:pStyle w:val="Compact"/>
      </w:pPr>
      <w:r>
        <w:rPr>
          <w:bCs/>
          <w:b/>
        </w:rPr>
        <w:t xml:space="preserve">Use Phase:</w:t>
      </w:r>
      <w:r>
        <w:t xml:space="preserve"> </w:t>
      </w:r>
      <w:r>
        <w:t xml:space="preserve">Energy consumption during the product\'s lifespan contributes significantly, highlighting the importance of energy efficiency in product design.</w:t>
      </w:r>
    </w:p>
    <w:p>
      <w:pPr>
        <w:numPr>
          <w:ilvl w:val="0"/>
          <w:numId w:val="1014"/>
        </w:numPr>
        <w:pStyle w:val="Compact"/>
      </w:pPr>
      <w:r>
        <w:rPr>
          <w:bCs/>
          <w:b/>
        </w:rPr>
        <w:t xml:space="preserve">Outbound Transportation:</w:t>
      </w:r>
      <w:r>
        <w:t xml:space="preserve"> </w:t>
      </w:r>
      <w:r>
        <w:t xml:space="preserve">The long-distance sea freight from China to Europe, combined with last-mile delivery, constitutes a notable share of the PCF, even with efficient sea transport.</w:t>
      </w:r>
    </w:p>
    <w:bookmarkEnd w:id="47"/>
    <w:bookmarkStart w:id="48" w:name="data-reliability"/>
    <w:p>
      <w:pPr>
        <w:pStyle w:val="Heading3"/>
      </w:pPr>
      <w:r>
        <w:t xml:space="preserve">5.2. Data Reliability</w:t>
      </w:r>
    </w:p>
    <w:p>
      <w:pPr>
        <w:pStyle w:val="FirstParagraph"/>
      </w:pPr>
      <w:r>
        <w:t xml:space="preserve">The reliability of this PCF analysis is considered good, given the use of specific, albeit assumed for calculation demonstration, data points for BOM, energy intensity, and logistics. Emission factors are based on industry-standard sources (e.g., assumed DEFRA equivalents, Ecoinvent principles). The main areas for potential refinement would be the collection of primary data for all upstream material production processes specific to</w:t>
      </w:r>
      <w:r>
        <w:t xml:space="preserve"> </w:t>
      </w:r>
      <w:r>
        <w:rPr>
          <w:bCs/>
          <w:b/>
        </w:rPr>
        <w:t xml:space="preserve">qtwdhmfznr</w:t>
      </w:r>
      <w:r>
        <w:t xml:space="preserve">\'s suppliers and more precise regional grid electricity mixes for the use phase. The assumptions made for numerical values based on string inputs are clearly stated to maintain transparency.</w:t>
      </w:r>
    </w:p>
    <w:bookmarkEnd w:id="48"/>
    <w:bookmarkStart w:id="49" w:name="recommendations-for-emission-reduction"/>
    <w:p>
      <w:pPr>
        <w:pStyle w:val="Heading3"/>
      </w:pPr>
      <w:r>
        <w:t xml:space="preserve">5.3. Recommendations for Emission Reduction</w:t>
      </w:r>
    </w:p>
    <w:p>
      <w:pPr>
        <w:pStyle w:val="FirstParagraph"/>
      </w:pPr>
      <w:r>
        <w:t xml:space="preserve">To reduce the carbon footprint of</w:t>
      </w:r>
      <w:r>
        <w:t xml:space="preserve"> </w:t>
      </w:r>
      <w:r>
        <w:rPr>
          <w:bCs/>
          <w:b/>
        </w:rPr>
        <w:t xml:space="preserve">urdpjjpxle</w:t>
      </w:r>
      <w:r>
        <w:t xml:space="preserve">,</w:t>
      </w:r>
      <w:r>
        <w:t xml:space="preserve"> </w:t>
      </w:r>
      <w:r>
        <w:rPr>
          <w:bCs/>
          <w:b/>
        </w:rPr>
        <w:t xml:space="preserve">qtwdhmfznr</w:t>
      </w:r>
      <w:r>
        <w:t xml:space="preserve"> </w:t>
      </w:r>
      <w:r>
        <w:t xml:space="preserve">should consider:</w:t>
      </w:r>
    </w:p>
    <w:p>
      <w:pPr>
        <w:numPr>
          <w:ilvl w:val="0"/>
          <w:numId w:val="1015"/>
        </w:numPr>
        <w:pStyle w:val="Compact"/>
      </w:pPr>
      <w:r>
        <w:rPr>
          <w:bCs/>
          <w:b/>
        </w:rPr>
        <w:t xml:space="preserve">Material Optimization:</w:t>
      </w:r>
      <w:r>
        <w:t xml:space="preserve"> </w:t>
      </w:r>
      <w:r>
        <w:t xml:space="preserve">Explore materials with lower embedded carbon, increase recycled content, and optimize product design to reduce overall material quantity.</w:t>
      </w:r>
    </w:p>
    <w:p>
      <w:pPr>
        <w:numPr>
          <w:ilvl w:val="0"/>
          <w:numId w:val="1015"/>
        </w:numPr>
        <w:pStyle w:val="Compact"/>
      </w:pPr>
      <w:r>
        <w:rPr>
          <w:bCs/>
          <w:b/>
        </w:rPr>
        <w:t xml:space="preserve">Energy Efficiency:</w:t>
      </w:r>
      <w:r>
        <w:t xml:space="preserve"> </w:t>
      </w:r>
      <w:r>
        <w:t xml:space="preserve">Focus on making the product more energy-efficient during its use phase to reduce consumer electricity consumption.</w:t>
      </w:r>
    </w:p>
    <w:p>
      <w:pPr>
        <w:numPr>
          <w:ilvl w:val="0"/>
          <w:numId w:val="1015"/>
        </w:numPr>
        <w:pStyle w:val="Compact"/>
      </w:pPr>
      <w:r>
        <w:rPr>
          <w:bCs/>
          <w:b/>
        </w:rPr>
        <w:t xml:space="preserve">Renewable Energy Adoption:</w:t>
      </w:r>
      <w:r>
        <w:t xml:space="preserve"> </w:t>
      </w:r>
      <w:r>
        <w:t xml:space="preserve">Increase the percentage of renewable energy used in manufacturing operations beyond the current 70%.</w:t>
      </w:r>
    </w:p>
    <w:p>
      <w:pPr>
        <w:numPr>
          <w:ilvl w:val="0"/>
          <w:numId w:val="1015"/>
        </w:numPr>
        <w:pStyle w:val="Compact"/>
      </w:pPr>
      <w:r>
        <w:rPr>
          <w:bCs/>
          <w:b/>
        </w:rPr>
        <w:t xml:space="preserve">Logistics Optimization:</w:t>
      </w:r>
      <w:r>
        <w:t xml:space="preserve"> </w:t>
      </w:r>
      <w:r>
        <w:t xml:space="preserve">Investigate more efficient transport routes, consolidate shipments, and prioritize lower-emission transport modes where feasible, especially for final delivery in Europe.</w:t>
      </w:r>
    </w:p>
    <w:p>
      <w:pPr>
        <w:numPr>
          <w:ilvl w:val="0"/>
          <w:numId w:val="1015"/>
        </w:numPr>
        <w:pStyle w:val="Compact"/>
      </w:pPr>
      <w:r>
        <w:rPr>
          <w:bCs/>
          <w:b/>
        </w:rPr>
        <w:t xml:space="preserve">Circular Economy Initiatives:</w:t>
      </w:r>
      <w:r>
        <w:t xml:space="preserve"> </w:t>
      </w:r>
      <w:r>
        <w:t xml:space="preserve">Further enhance the existing take-back programs and explore innovative business models that promote product longevity, repairability, and high-value recycling.</w:t>
      </w:r>
    </w:p>
    <w:p>
      <w:r>
        <w:pict>
          <v:rect style="width:0;height:1.5pt" o:hralign="center" o:hrstd="t" o:hr="t"/>
        </w:pict>
      </w:r>
    </w:p>
    <w:p>
      <w:pPr>
        <w:pStyle w:val="FirstParagraph"/>
      </w:pPr>
      <w:r>
        <w:t xml:space="preserve">Confidential - Internal Use Only</w:t>
      </w:r>
    </w:p>
    <w:p>
      <w:pPr>
        <w:pStyle w:val="BodyText"/>
      </w:pPr>
      <w:r>
        <w:t xml:space="preserve">Page 2 of X (page numbering simulated)</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urdpjjpxle</dc:title>
  <dc:creator/>
  <dc:description>A high-detail Product Carbon Footprint (PCF) analysis report for urdpjjpxle, conducted by izhqsxmrdl, Senior Sustainability Consultant at qtwdhmfznr, adhering to GHG Protocol and 2026 LSR Update standards.</dc:description>
  <dc:language>en</dc:language>
  <cp:keywords/>
  <dcterms:created xsi:type="dcterms:W3CDTF">2026-05-30T19:00:00Z</dcterms:created>
  <dcterms:modified xsi:type="dcterms:W3CDTF">2026-05-30T19:00:00Z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