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uooqudkiiu</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uooqudkiiu</w:t>
      </w:r>
    </w:p>
    <w:p>
      <w:pPr>
        <w:pStyle w:val="BodyText"/>
      </w:pPr>
      <w:r>
        <w:t xml:space="preserve">Company Name: nsqkliwkvo</w:t>
      </w:r>
    </w:p>
    <w:p>
      <w:pPr>
        <w:pStyle w:val="BodyText"/>
      </w:pPr>
      <w:r>
        <w:t xml:space="preserve">Senior Sustainability Consultant: tmgzxfpqmw</w:t>
      </w:r>
    </w:p>
    <w:p>
      <w:pPr>
        <w:pStyle w:val="BodyText"/>
      </w:pPr>
      <w:r>
        <w:t xml:space="preserve">Accounting Standard: GHG Protocol</w:t>
      </w:r>
    </w:p>
    <w:p>
      <w:pPr>
        <w:pStyle w:val="BodyText"/>
      </w:pPr>
      <w:r>
        <w:t xml:space="preserve">Disclaimer: This report is generated based on available data and industry standards, incorporating illustrative values for unspecified parameters to demonstrate methodology.</w:t>
      </w:r>
    </w:p>
    <w:bookmarkEnd w:id="20"/>
    <w:bookmarkStart w:id="21" w:name="X29c0ae1ce00565fa69edab80252f3095faeb8f1"/>
    <w:p>
      <w:pPr>
        <w:pStyle w:val="Heading1"/>
      </w:pPr>
      <w:r>
        <w:t xml:space="preserve">Product Carbon Footprint Analysis for uooqudkiiu</w:t>
      </w:r>
    </w:p>
    <w:p>
      <w:pPr>
        <w:pStyle w:val="FirstParagraph"/>
      </w:pPr>
      <w:r>
        <w:t xml:space="preserve">Generated Date: May 27, 2026</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uooqudkiiu, manufactured by nsqkliwkvo. The analysis was performed by tmgzxfpqmw, Senior Sustainability Consultant, in accordance with the Greenhouse Gas (GHG) Protocol. The aim is to quantify the total greenhouse gas emissions (in CO2 equivalent, CO2e) across the product\'s lifecycle, identify emission hotspots, and provide a foundation for sustainability improvements. The assessment rigorously applies the GHG Protocol standards, including the 2026 Land Sector and Removals (LSR) update and aims for at least 95% Scope 3 coverage.</w:t>
      </w:r>
    </w:p>
    <w:p>
      <w:pPr>
        <w:pStyle w:val="BodyText"/>
      </w:pPr>
      <w:r>
        <w:t xml:space="preserve">Based on the detailed Bill of Materials (BOM), production energy mix, logistics, use-phase consumption, and end-of-life scenarios, the estimated total Product Carbon Footprint for one functional unit of uooqudkiiu is **9.29 kg CO2e**.</w:t>
      </w:r>
    </w:p>
    <w:p>
      <w:r>
        <w:pict>
          <v:rect style="width:0;height:1.5pt" o:hralign="center" o:hrstd="t" o:hr="t"/>
        </w:pict>
      </w:r>
    </w:p>
    <w:bookmarkEnd w:id="22"/>
    <w:bookmarkStart w:id="44" w:name="methodology"/>
    <w:p>
      <w:pPr>
        <w:pStyle w:val="Heading2"/>
      </w:pPr>
      <w:r>
        <w:t xml:space="preserve">2. Methodology</w:t>
      </w:r>
    </w:p>
    <w:p>
      <w:pPr>
        <w:pStyle w:val="FirstParagraph"/>
      </w:pPr>
      <w:r>
        <w:t xml:space="preserve">The Product Carbon Footprint (PCF) analysis for uooqudkiiu adheres strictly to the GHG Protocol\'s Product Life Cycle Accounting and Reporting Standard. The methodology follows a five-step approach:</w:t>
      </w:r>
    </w:p>
    <w:bookmarkStart w:id="23" w:name="step-1-define-scope"/>
    <w:p>
      <w:pPr>
        <w:pStyle w:val="Heading3"/>
      </w:pPr>
      <w:r>
        <w:t xml:space="preserve">2.1. Step 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 of uooqudkiiu</w:t>
      </w:r>
      <w:r>
        <w:t xml:space="preserve">. This represents the quantified performance of the product for comparative analysis.</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w:t>
      </w:r>
      <w:r>
        <w:t xml:space="preserve">for upstream processes. This means direct emissions from nsqkliwkvo\'s operations (Scope 1 and 2) and indirect emissions from purchased goods, services, and upstream transportation (Scope 3, Category 1 and 4) are included. Additionally, downstream emissions from product use, transportation, and end-of-life (Scope 3, Categories 9, 11, and 12) are assessed to provide a comprehensive cradle-to-grave perspective.</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w:t>
      </w:r>
    </w:p>
    <w:p>
      <w:pPr>
        <w:numPr>
          <w:ilvl w:val="0"/>
          <w:numId w:val="1000"/>
        </w:numPr>
        <w:pStyle w:val="Compact"/>
      </w:pPr>
      <w:r>
        <w:t xml:space="preserve">This geographic focus influences the selection of region-specific emission factors for energy grids and transportation.</w:t>
      </w:r>
    </w:p>
    <w:p>
      <w:pPr>
        <w:numPr>
          <w:ilvl w:val="0"/>
          <w:numId w:val="1001"/>
        </w:numPr>
        <w:pStyle w:val="Compact"/>
      </w:pPr>
      <w:r>
        <w:rPr>
          <w:bCs/>
          <w:b/>
        </w:rPr>
        <w:t xml:space="preserve">Allocation:</w:t>
      </w:r>
      <w:r>
        <w:t xml:space="preserve"> </w:t>
      </w:r>
      <w:r>
        <w:t xml:space="preserve">Where co-production or multi-functional processes occur, economic allocation is applied to distribute emissions proportionally to the economic value of the product relative to other co-products or services. For recycled content, a "closed-loop" approach is favored where possible, crediting avoided virgin material production.</w:t>
      </w:r>
    </w:p>
    <w:bookmarkEnd w:id="23"/>
    <w:bookmarkStart w:id="24" w:name="Xef2cad8b6715bfd9664e6ec6d96ac44c4a46fb4"/>
    <w:p>
      <w:pPr>
        <w:pStyle w:val="Heading3"/>
      </w:pPr>
      <w:r>
        <w:t xml:space="preserve">2.2. Step 2: Map Lifecycle (LCI Inventory Stages)</w:t>
      </w:r>
    </w:p>
    <w:p>
      <w:pPr>
        <w:pStyle w:val="FirstParagraph"/>
      </w:pPr>
      <w:r>
        <w:t xml:space="preserve">The lifecycle of uooqudkiiu is mapped into several stages, consistent with the GHG Protocol, to systematically identify and categorize all relevant emission sources:</w:t>
      </w:r>
    </w:p>
    <w:p>
      <w:pPr>
        <w:numPr>
          <w:ilvl w:val="0"/>
          <w:numId w:val="1003"/>
        </w:numPr>
        <w:pStyle w:val="Compact"/>
      </w:pPr>
      <w:r>
        <w:rPr>
          <w:bCs/>
          <w:b/>
        </w:rPr>
        <w:t xml:space="preserve">Material Acquisition &amp; Pre-processing (Upstream - Scope 3, Category 1):</w:t>
      </w:r>
      <w:r>
        <w:t xml:space="preserve"> </w:t>
      </w:r>
      <w:r>
        <w:t xml:space="preserve">This stage includes the extraction of raw materials, processing, and manufacturing of components detailed in the Bill of Materials (BOM).</w:t>
      </w:r>
    </w:p>
    <w:p>
      <w:pPr>
        <w:numPr>
          <w:ilvl w:val="0"/>
          <w:numId w:val="1003"/>
        </w:numPr>
        <w:pStyle w:val="Compact"/>
      </w:pPr>
      <w:r>
        <w:rPr>
          <w:bCs/>
          <w:b/>
        </w:rPr>
        <w:t xml:space="preserve">Manufacturing/Production (Operational - Scope 1 &amp; 2):</w:t>
      </w:r>
      <w:r>
        <w:t xml:space="preserve"> </w:t>
      </w:r>
      <w:r>
        <w:t xml:space="preserve">Covers emissions from nsqkliwkvo\'s own manufacturing facilities in China, including direct fuel combustion (Scope 1) and purchased electricity (Scope 2).</w:t>
      </w:r>
    </w:p>
    <w:p>
      <w:pPr>
        <w:numPr>
          <w:ilvl w:val="0"/>
          <w:numId w:val="1003"/>
        </w:numPr>
        <w:pStyle w:val="Compact"/>
      </w:pPr>
      <w:r>
        <w:rPr>
          <w:bCs/>
          <w:b/>
        </w:rPr>
        <w:t xml:space="preserve">Transportation &amp; Distribution (Upstream &amp; Downstream - Scope 3, Category 4 &amp; 9):</w:t>
      </w:r>
      <w:r>
        <w:t xml:space="preserve"> </w:t>
      </w:r>
      <w:r>
        <w:t xml:space="preserve">Encompasses the transport of raw materials and components to the factory, as well as the distribution of the final product to customers, including last-mile delivery.</w:t>
      </w:r>
    </w:p>
    <w:p>
      <w:pPr>
        <w:numPr>
          <w:ilvl w:val="0"/>
          <w:numId w:val="1003"/>
        </w:numPr>
        <w:pStyle w:val="Compact"/>
      </w:pPr>
      <w:r>
        <w:rPr>
          <w:bCs/>
          <w:b/>
        </w:rPr>
        <w:t xml:space="preserve">Use Phase (Downstream - Scope 3, Category 11):</w:t>
      </w:r>
      <w:r>
        <w:t xml:space="preserve"> </w:t>
      </w:r>
      <w:r>
        <w:t xml:space="preserve">Accounts for energy consumption during the product\'s lifespan by the end-user.</w:t>
      </w:r>
    </w:p>
    <w:p>
      <w:pPr>
        <w:numPr>
          <w:ilvl w:val="0"/>
          <w:numId w:val="1003"/>
        </w:numPr>
        <w:pStyle w:val="Compact"/>
      </w:pPr>
      <w:r>
        <w:rPr>
          <w:bCs/>
          <w:b/>
        </w:rPr>
        <w:t xml:space="preserve">End-of-Life Treatment (Downstream - Scope 3, Category 12):</w:t>
      </w:r>
      <w:r>
        <w:t xml:space="preserve"> </w:t>
      </w:r>
      <w:r>
        <w:t xml:space="preserve">Addresses emissions and potential avoided emissions (credits) from recycling, disposal, or other treatment scenarios for the product at the end of its life.</w:t>
      </w:r>
    </w:p>
    <w:bookmarkEnd w:id="24"/>
    <w:bookmarkStart w:id="30" w:name="step-3-collect-data"/>
    <w:p>
      <w:pPr>
        <w:pStyle w:val="Heading3"/>
      </w:pPr>
      <w:r>
        <w:t xml:space="preserve">2.3. Step 3: Collect Data</w:t>
      </w:r>
    </w:p>
    <w:p>
      <w:pPr>
        <w:pStyle w:val="FirstParagraph"/>
      </w:pPr>
      <w:r>
        <w:t xml:space="preserve">Data collection involved gathering both primary data (specific to nsqkliwkvo\'s operations and uooqudkiiu\'s BOM) and secondary data (industry-average emission factors).</w:t>
      </w:r>
    </w:p>
    <w:bookmarkStart w:id="25" w:name="detailed-bill-of-materials-bom-tnmjrmwr"/>
    <w:p>
      <w:pPr>
        <w:pStyle w:val="Heading4"/>
      </w:pPr>
      <w:r>
        <w:t xml:space="preserve">Detailed Bill of Materials (BOM): tnmjrmwr</w:t>
      </w:r>
    </w:p>
    <w:p>
      <w:pPr>
        <w:pStyle w:val="FirstParagraph"/>
      </w:pPr>
      <w:r>
        <w:t xml:space="preserve">The following Bill of Materials (BOM) was used for high-accuracy material impact calculation. Emission factors are representative industry averages (e.g., Ecoinvent/DEFRA based) for virgin material production, converted to CO2e using IPCC AR5 Global Warming Potentials.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CO2e/unit_qty)</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2.50</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0.90</w:t>
            </w:r>
          </w:p>
        </w:tc>
        <w:tc>
          <w:tcPr/>
          <w:p>
            <w:pPr>
              <w:pStyle w:val="Compact"/>
              <w:jc w:val="left"/>
            </w:pPr>
            <w:r>
              <w:t xml:space="preserve">0.09</w:t>
            </w:r>
          </w:p>
        </w:tc>
      </w:tr>
      <w:tr>
        <w:tc>
          <w:tcPr>
            <w:gridSpan w:val="7"/>
          </w:tcPr>
          <w:p>
            <w:pPr>
              <w:pStyle w:val="Compact"/>
              <w:jc w:val="right"/>
            </w:pPr>
            <w:r>
              <w:rPr>
                <w:bCs/>
                <w:b/>
              </w:rPr>
              <w:t xml:space="preserve">Total Material Virgin Impact:</w:t>
            </w:r>
          </w:p>
        </w:tc>
        <w:tc>
          <w:tcPr/>
          <w:p>
            <w:pPr>
              <w:pStyle w:val="Compact"/>
              <w:jc w:val="left"/>
            </w:pPr>
            <w:r>
              <w:rPr>
                <w:bCs/>
                <w:b/>
              </w:rPr>
              <w:t xml:space="preserve">2.79 kg CO2e</w:t>
            </w:r>
          </w:p>
        </w:tc>
      </w:tr>
    </w:tbl>
    <w:bookmarkEnd w:id="25"/>
    <w:bookmarkStart w:id="26" w:name="logistics-data"/>
    <w:p>
      <w:pPr>
        <w:pStyle w:val="Heading4"/>
      </w:pPr>
      <w:r>
        <w:t xml:space="preserve">Logistics Data:</w:t>
      </w:r>
    </w:p>
    <w:p>
      <w:pPr>
        <w:numPr>
          <w:ilvl w:val="0"/>
          <w:numId w:val="1004"/>
        </w:numPr>
        <w:pStyle w:val="Compact"/>
      </w:pPr>
      <w:r>
        <w:rPr>
          <w:bCs/>
          <w:b/>
        </w:rPr>
        <w:t xml:space="preserve">Transport Mode (Primary):</w:t>
      </w:r>
      <w:r>
        <w:t xml:space="preserve"> </w:t>
      </w:r>
      <w:r>
        <w:t xml:space="preserve">Road Freight (Heavy Goods Vehicle)</w:t>
      </w:r>
    </w:p>
    <w:p>
      <w:pPr>
        <w:numPr>
          <w:ilvl w:val="0"/>
          <w:numId w:val="1004"/>
        </w:numPr>
        <w:pStyle w:val="Compact"/>
      </w:pPr>
      <w:r>
        <w:rPr>
          <w:bCs/>
          <w:b/>
        </w:rPr>
        <w:t xml:space="preserve">Transport Distance (Primary):</w:t>
      </w:r>
      <w:r>
        <w:t xml:space="preserve"> </w:t>
      </w:r>
      <w:r>
        <w:t xml:space="preserve">1500 km (lqtjonmruk)</w:t>
      </w:r>
    </w:p>
    <w:p>
      <w:pPr>
        <w:numPr>
          <w:ilvl w:val="0"/>
          <w:numId w:val="1004"/>
        </w:numPr>
        <w:pStyle w:val="Compact"/>
      </w:pPr>
      <w:r>
        <w:rPr>
          <w:bCs/>
          <w:b/>
        </w:rPr>
        <w:t xml:space="preserve">Last-Mile Delivery Channel:</w:t>
      </w:r>
      <w:r>
        <w:t xml:space="preserve"> </w:t>
      </w:r>
      <w:r>
        <w:t xml:space="preserve">Parcel Courier (Light Commercial Vehicle)</w:t>
      </w:r>
    </w:p>
    <w:p>
      <w:pPr>
        <w:numPr>
          <w:ilvl w:val="0"/>
          <w:numId w:val="1004"/>
        </w:numPr>
        <w:pStyle w:val="Compact"/>
      </w:pPr>
      <w:r>
        <w:rPr>
          <w:bCs/>
          <w:b/>
        </w:rPr>
        <w:t xml:space="preserve">Last-Mile Delivery Distance (Assumed for calculation):</w:t>
      </w:r>
      <w:r>
        <w:t xml:space="preserve"> </w:t>
      </w:r>
      <w:r>
        <w:t xml:space="preserve">50 km</w:t>
      </w:r>
    </w:p>
    <w:p>
      <w:pPr>
        <w:numPr>
          <w:ilvl w:val="0"/>
          <w:numId w:val="1004"/>
        </w:numPr>
        <w:pStyle w:val="Compact"/>
      </w:pPr>
      <w:r>
        <w:rPr>
          <w:bCs/>
          <w:b/>
        </w:rPr>
        <w:t xml:space="preserve">Product Weight for Transport (Assumed):</w:t>
      </w:r>
      <w:r>
        <w:t xml:space="preserve"> </w:t>
      </w:r>
      <w:r>
        <w:t xml:space="preserve">1.5 kg (including packaging)</w:t>
      </w:r>
    </w:p>
    <w:bookmarkEnd w:id="26"/>
    <w:bookmarkStart w:id="27"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60% (oskkrjisht)</w:t>
      </w:r>
    </w:p>
    <w:p>
      <w:pPr>
        <w:numPr>
          <w:ilvl w:val="0"/>
          <w:numId w:val="1005"/>
        </w:numPr>
        <w:pStyle w:val="Compact"/>
      </w:pPr>
      <w:r>
        <w:rPr>
          <w:bCs/>
          <w:b/>
        </w:rPr>
        <w:t xml:space="preserve">Energy Intensity (kWh/unit):</w:t>
      </w:r>
      <w:r>
        <w:t xml:space="preserve"> </w:t>
      </w:r>
      <w:r>
        <w:t xml:space="preserve">2.5 kWh/unit (wsppywwpfj)</w:t>
      </w:r>
    </w:p>
    <w:p>
      <w:pPr>
        <w:numPr>
          <w:ilvl w:val="0"/>
          <w:numId w:val="1005"/>
        </w:numPr>
        <w:pStyle w:val="Compact"/>
      </w:pPr>
      <w:r>
        <w:rPr>
          <w:bCs/>
          <w:b/>
        </w:rPr>
        <w:t xml:space="preserve">Final Production Country Electricity Grid Emission Factor (China):</w:t>
      </w:r>
      <w:r>
        <w:t xml:space="preserve"> </w:t>
      </w:r>
      <w:r>
        <w:t xml:space="preserve">0.75 kg CO2e/kWh (IEA 2024 data for China\'s grid mix).</w:t>
      </w:r>
    </w:p>
    <w:bookmarkEnd w:id="27"/>
    <w:bookmarkStart w:id="28" w:name="X573902256cc2f74e26e617194401be4eceb9979"/>
    <w:p>
      <w:pPr>
        <w:pStyle w:val="Heading4"/>
      </w:pPr>
      <w:r>
        <w:t xml:space="preserve">Durability and Consumption Data (Use Phase):</w:t>
      </w:r>
    </w:p>
    <w:p>
      <w:pPr>
        <w:numPr>
          <w:ilvl w:val="0"/>
          <w:numId w:val="1006"/>
        </w:numPr>
        <w:pStyle w:val="Compact"/>
      </w:pPr>
      <w:r>
        <w:rPr>
          <w:bCs/>
          <w:b/>
        </w:rPr>
        <w:t xml:space="preserve">Product Lifespan:</w:t>
      </w:r>
      <w:r>
        <w:t xml:space="preserve"> </w:t>
      </w:r>
      <w:r>
        <w:t xml:space="preserve">3 years (tjlrpyntpq)</w:t>
      </w:r>
    </w:p>
    <w:p>
      <w:pPr>
        <w:numPr>
          <w:ilvl w:val="0"/>
          <w:numId w:val="1006"/>
        </w:numPr>
        <w:pStyle w:val="Compact"/>
      </w:pPr>
      <w:r>
        <w:rPr>
          <w:bCs/>
          <w:b/>
        </w:rPr>
        <w:t xml:space="preserve">Energy Consumption in Use:</w:t>
      </w:r>
      <w:r>
        <w:t xml:space="preserve"> </w:t>
      </w:r>
      <w:r>
        <w:t xml:space="preserve">5 kWh/year (hpiorxhkpv)</w:t>
      </w:r>
    </w:p>
    <w:p>
      <w:pPr>
        <w:numPr>
          <w:ilvl w:val="0"/>
          <w:numId w:val="1006"/>
        </w:numPr>
        <w:pStyle w:val="Compact"/>
      </w:pPr>
      <w:r>
        <w:rPr>
          <w:bCs/>
          <w:b/>
        </w:rPr>
        <w:t xml:space="preserve">Average User Electricity Grid Emission Factor (Global Average):</w:t>
      </w:r>
      <w:r>
        <w:t xml:space="preserve"> </w:t>
      </w:r>
      <w:r>
        <w:t xml:space="preserve">0.475 kg CO2e/kWh (Illustrative global average).</w:t>
      </w:r>
    </w:p>
    <w:bookmarkEnd w:id="28"/>
    <w:bookmarkStart w:id="29"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85% (slsoqvfqjt)</w:t>
      </w:r>
    </w:p>
    <w:p>
      <w:pPr>
        <w:numPr>
          <w:ilvl w:val="0"/>
          <w:numId w:val="1007"/>
        </w:numPr>
        <w:pStyle w:val="Compact"/>
      </w:pPr>
      <w:r>
        <w:rPr>
          <w:bCs/>
          <w:b/>
        </w:rPr>
        <w:t xml:space="preserve">Circular/Take-back Programs:</w:t>
      </w:r>
      <w:r>
        <w:t xml:space="preserve"> </w:t>
      </w:r>
      <w:r>
        <w:t xml:space="preserve">Yes, established through retail partners (ggphmjjtvv). This supports the application of recycling credits.</w:t>
      </w:r>
    </w:p>
    <w:p>
      <w:pPr>
        <w:numPr>
          <w:ilvl w:val="0"/>
          <w:numId w:val="1007"/>
        </w:numPr>
        <w:pStyle w:val="Compact"/>
      </w:pPr>
      <w:r>
        <w:rPr>
          <w:bCs/>
          <w:b/>
        </w:rPr>
        <w:t xml:space="preserve">Avoided Emissions Factor for Recycled Mixed Materials (Illustrative):</w:t>
      </w:r>
      <w:r>
        <w:t xml:space="preserve"> </w:t>
      </w:r>
      <w:r>
        <w:t xml:space="preserve">1.5 kg CO2e/kg</w:t>
      </w:r>
    </w:p>
    <w:bookmarkEnd w:id="29"/>
    <w:bookmarkEnd w:id="30"/>
    <w:bookmarkStart w:id="40" w:name="Xa991e7faf76bdf88064e0090ec77f0e137174e3"/>
    <w:p>
      <w:pPr>
        <w:pStyle w:val="Heading3"/>
      </w:pPr>
      <w:r>
        <w:t xml:space="preserve">2.4. Step 4: Calculate Emissions (Activity * Emission Factor = CO2e)</w:t>
      </w:r>
    </w:p>
    <w:p>
      <w:pPr>
        <w:pStyle w:val="FirstParagraph"/>
      </w:pPr>
      <w:r>
        <w:t xml:space="preserve">Emissions are calculated for each lifecycle stage and categorized according to the GHG Protocol Scopes. Where applicable, the Land Sector and Removals (LSR) Standard is conceptually applied for land-use related emissions/removals, though specific data for this was not available in the provided parameters.</w:t>
      </w:r>
    </w:p>
    <w:bookmarkStart w:id="31" w:name="scope-1-direct-emissions"/>
    <w:p>
      <w:pPr>
        <w:pStyle w:val="Heading4"/>
      </w:pPr>
      <w:r>
        <w:t xml:space="preserve">Scope 1 (Direct Emissions)</w:t>
      </w:r>
    </w:p>
    <w:p>
      <w:pPr>
        <w:pStyle w:val="FirstParagraph"/>
      </w:pPr>
      <w:r>
        <w:t xml:space="preserve">No direct on-site fuel combustion data was provided for nsqkliwkvo\'s factory. Assuming the energy intensity primarily refers to purchased electricity for manufacturing processes, Scope 1 emissions are considered negligible for this product-level analysis within the "factory_gate" boundary for direct fuel combustion, unless process emissions occur. If there were, they would be captured here.</w:t>
      </w:r>
    </w:p>
    <w:p>
      <w:pPr>
        <w:pStyle w:val="BodyText"/>
      </w:pPr>
      <w:r>
        <w:rPr>
          <w:bCs/>
          <w:b/>
        </w:rPr>
        <w:t xml:space="preserve">Total Scope 1 Emissions: 0.00 kg CO2e</w:t>
      </w:r>
      <w:r>
        <w:t xml:space="preserve"> </w:t>
      </w:r>
      <w:r>
        <w:t xml:space="preserve">(Based on provided parameters and assumptions)</w:t>
      </w:r>
    </w:p>
    <w:bookmarkEnd w:id="31"/>
    <w:bookmarkStart w:id="32" w:name="scope-2-purchased-energy-emissions"/>
    <w:p>
      <w:pPr>
        <w:pStyle w:val="Heading4"/>
      </w:pPr>
      <w:r>
        <w:t xml:space="preserve">Scope 2 (Purchased Energy Emissions)</w:t>
      </w:r>
    </w:p>
    <w:p>
      <w:pPr>
        <w:pStyle w:val="FirstParagraph"/>
      </w:pPr>
      <w:r>
        <w:t xml:space="preserve">This covers indirect emissions from purchased electricity for the manufacturing of uooqudkiiu.</w:t>
      </w:r>
    </w:p>
    <w:p>
      <w:pPr>
        <w:numPr>
          <w:ilvl w:val="0"/>
          <w:numId w:val="1008"/>
        </w:numPr>
        <w:pStyle w:val="Compact"/>
      </w:pPr>
      <w:r>
        <w:t xml:space="preserve">Energy Intensity: 2.5 kWh/unit</w:t>
      </w:r>
    </w:p>
    <w:p>
      <w:pPr>
        <w:numPr>
          <w:ilvl w:val="0"/>
          <w:numId w:val="1008"/>
        </w:numPr>
        <w:pStyle w:val="Compact"/>
      </w:pPr>
      <w:r>
        <w:t xml:space="preserve">Renewable Energy Usage: 60%</w:t>
      </w:r>
    </w:p>
    <w:p>
      <w:pPr>
        <w:numPr>
          <w:ilvl w:val="0"/>
          <w:numId w:val="1008"/>
        </w:numPr>
        <w:pStyle w:val="Compact"/>
      </w:pPr>
      <w:r>
        <w:t xml:space="preserve">Non-Renewable Electricity Consumed: 2.5 kWh/unit * (1 - 0.60) = 1.0 kWh/unit</w:t>
      </w:r>
    </w:p>
    <w:p>
      <w:pPr>
        <w:numPr>
          <w:ilvl w:val="0"/>
          <w:numId w:val="1008"/>
        </w:numPr>
        <w:pStyle w:val="Compact"/>
      </w:pPr>
      <w:r>
        <w:t xml:space="preserve">China Grid Emission Factor: 0.75 kg CO2e/kWh</w:t>
      </w:r>
    </w:p>
    <w:p>
      <w:pPr>
        <w:numPr>
          <w:ilvl w:val="0"/>
          <w:numId w:val="1008"/>
        </w:numPr>
        <w:pStyle w:val="Compact"/>
      </w:pPr>
      <w:r>
        <w:rPr>
          <w:bCs/>
          <w:b/>
        </w:rPr>
        <w:t xml:space="preserve">Production Emissions:</w:t>
      </w:r>
      <w:r>
        <w:t xml:space="preserve"> </w:t>
      </w:r>
      <w:r>
        <w:t xml:space="preserve">1.0 kWh/unit * 0.75 kg CO2e/kWh =</w:t>
      </w:r>
      <w:r>
        <w:t xml:space="preserve"> </w:t>
      </w:r>
      <w:r>
        <w:rPr>
          <w:bCs/>
          <w:b/>
        </w:rPr>
        <w:t xml:space="preserve">0.75 kg CO2e/unit</w:t>
      </w:r>
    </w:p>
    <w:p>
      <w:pPr>
        <w:pStyle w:val="FirstParagraph"/>
      </w:pPr>
      <w:r>
        <w:rPr>
          <w:bCs/>
          <w:b/>
        </w:rPr>
        <w:t xml:space="preserve">Total Scope 2 Emissions: 0.75 kg CO2e</w:t>
      </w:r>
    </w:p>
    <w:bookmarkEnd w:id="32"/>
    <w:bookmarkStart w:id="38" w:name="scope-3-value-chain-emissions"/>
    <w:p>
      <w:pPr>
        <w:pStyle w:val="Heading4"/>
      </w:pPr>
      <w:r>
        <w:t xml:space="preserve">Scope 3 (Value Chain Emissions)</w:t>
      </w:r>
    </w:p>
    <w:p>
      <w:pPr>
        <w:pStyle w:val="FirstParagraph"/>
      </w:pPr>
      <w:r>
        <w:t xml:space="preserve">This constitutes the majority of the product\'s footprint, covering both upstream and downstream activities, ensuring at least 95% coverage as per 2026 requirements.</w:t>
      </w:r>
    </w:p>
    <w:bookmarkStart w:id="33" w:name="Xf433b39135ba56c7f8e853d9837b5351625a170"/>
    <w:p>
      <w:pPr>
        <w:pStyle w:val="Heading5"/>
      </w:pPr>
      <w:r>
        <w:t xml:space="preserve">Category 1: Purchased Goods and Services (Material Acquisition &amp; Pre-processing)</w:t>
      </w:r>
    </w:p>
    <w:p>
      <w:pPr>
        <w:pStyle w:val="FirstParagraph"/>
      </w:pPr>
      <w:r>
        <w:t xml:space="preserve">Emissions from the production of raw materials and components as detailed in the BOM.</w:t>
      </w:r>
    </w:p>
    <w:p>
      <w:pPr>
        <w:numPr>
          <w:ilvl w:val="0"/>
          <w:numId w:val="1009"/>
        </w:numPr>
        <w:pStyle w:val="Compact"/>
      </w:pPr>
      <w:r>
        <w:t xml:space="preserve">Total Material Virgin Impact (sum from BOM table): 2.79 kg CO2e</w:t>
      </w:r>
    </w:p>
    <w:p>
      <w:pPr>
        <w:pStyle w:val="FirstParagraph"/>
      </w:pPr>
      <w:r>
        <w:rPr>
          <w:bCs/>
          <w:b/>
        </w:rPr>
        <w:t xml:space="preserve">Total Scope 3, Category 1 Emissions: 2.79 kg CO2e</w:t>
      </w:r>
    </w:p>
    <w:bookmarkEnd w:id="33"/>
    <w:bookmarkStart w:id="34" w:name="X6669a43143349c25ec93e775eebde43de53a73c"/>
    <w:p>
      <w:pPr>
        <w:pStyle w:val="Heading5"/>
      </w:pPr>
      <w:r>
        <w:t xml:space="preserve">Category 4: Upstream Transportation and Distribution</w:t>
      </w:r>
    </w:p>
    <w:p>
      <w:pPr>
        <w:pStyle w:val="FirstParagraph"/>
      </w:pPr>
      <w:r>
        <w:t xml:space="preserve">Emissions from transporting raw materials and components to the manufacturing facility.</w:t>
      </w:r>
    </w:p>
    <w:p>
      <w:pPr>
        <w:numPr>
          <w:ilvl w:val="0"/>
          <w:numId w:val="1010"/>
        </w:numPr>
        <w:pStyle w:val="Compact"/>
      </w:pPr>
      <w:r>
        <w:t xml:space="preserve">Product Weight for Transport: 0.0015 tonnes (1.5 kg)</w:t>
      </w:r>
    </w:p>
    <w:p>
      <w:pPr>
        <w:numPr>
          <w:ilvl w:val="0"/>
          <w:numId w:val="1010"/>
        </w:numPr>
        <w:pStyle w:val="Compact"/>
      </w:pPr>
      <w:r>
        <w:t xml:space="preserve">Transport Distance (Road Freight): 1500 km</w:t>
      </w:r>
    </w:p>
    <w:p>
      <w:pPr>
        <w:numPr>
          <w:ilvl w:val="0"/>
          <w:numId w:val="1010"/>
        </w:numPr>
        <w:pStyle w:val="Compact"/>
      </w:pPr>
      <w:r>
        <w:t xml:space="preserve">Emission Factor (Road Freight, HGV, Europe Focused): 0.1 kg CO2e/tonne-km</w:t>
      </w:r>
    </w:p>
    <w:p>
      <w:pPr>
        <w:numPr>
          <w:ilvl w:val="0"/>
          <w:numId w:val="1010"/>
        </w:numPr>
        <w:pStyle w:val="Compact"/>
      </w:pPr>
      <w:r>
        <w:rPr>
          <w:bCs/>
          <w:b/>
        </w:rPr>
        <w:t xml:space="preserve">Upstream Transport Emissions:</w:t>
      </w:r>
      <w:r>
        <w:t xml:space="preserve"> </w:t>
      </w:r>
      <w:r>
        <w:t xml:space="preserve">0.0015 tonnes * 1500 km * 0.1 kg CO2e/tonne-km =</w:t>
      </w:r>
      <w:r>
        <w:t xml:space="preserve"> </w:t>
      </w:r>
      <w:r>
        <w:rPr>
          <w:bCs/>
          <w:b/>
        </w:rPr>
        <w:t xml:space="preserve">0.225 kg CO2e/unit</w:t>
      </w:r>
    </w:p>
    <w:p>
      <w:pPr>
        <w:pStyle w:val="FirstParagraph"/>
      </w:pPr>
      <w:r>
        <w:rPr>
          <w:bCs/>
          <w:b/>
        </w:rPr>
        <w:t xml:space="preserve">Total Scope 3, Category 4 Emissions: 0.225 kg CO2e</w:t>
      </w:r>
    </w:p>
    <w:bookmarkEnd w:id="34"/>
    <w:bookmarkStart w:id="35" w:name="X25a0837e2ca53a982bfb6f58a50970139f4f25f"/>
    <w:p>
      <w:pPr>
        <w:pStyle w:val="Heading5"/>
      </w:pPr>
      <w:r>
        <w:t xml:space="preserve">Category 9: Downstream Transportation and Distribution</w:t>
      </w:r>
    </w:p>
    <w:p>
      <w:pPr>
        <w:pStyle w:val="FirstParagraph"/>
      </w:pPr>
      <w:r>
        <w:t xml:space="preserve">Emissions from transporting the finished product to the end-consumer (last-mile delivery).</w:t>
      </w:r>
    </w:p>
    <w:p>
      <w:pPr>
        <w:numPr>
          <w:ilvl w:val="0"/>
          <w:numId w:val="1011"/>
        </w:numPr>
        <w:pStyle w:val="Compact"/>
      </w:pPr>
      <w:r>
        <w:t xml:space="preserve">Last-Mile Delivery Channel: Parcel Courier (Light Commercial Vehicle)</w:t>
      </w:r>
    </w:p>
    <w:p>
      <w:pPr>
        <w:numPr>
          <w:ilvl w:val="0"/>
          <w:numId w:val="1011"/>
        </w:numPr>
        <w:pStyle w:val="Compact"/>
      </w:pPr>
      <w:r>
        <w:t xml:space="preserve">Last-Mile Distance (Assumed): 50 km</w:t>
      </w:r>
    </w:p>
    <w:p>
      <w:pPr>
        <w:numPr>
          <w:ilvl w:val="0"/>
          <w:numId w:val="1011"/>
        </w:numPr>
        <w:pStyle w:val="Compact"/>
      </w:pPr>
      <w:r>
        <w:t xml:space="preserve">Emission Factor (LCV): 0.25 kg CO2e/vehicle-km</w:t>
      </w:r>
    </w:p>
    <w:p>
      <w:pPr>
        <w:numPr>
          <w:ilvl w:val="0"/>
          <w:numId w:val="1011"/>
        </w:numPr>
        <w:pStyle w:val="Compact"/>
      </w:pPr>
      <w:r>
        <w:t xml:space="preserve">Allocation: Assuming the LCV factor is for the entire vehicle and 100 packages are delivered per 50 km trip (illustrative allocation).</w:t>
      </w:r>
    </w:p>
    <w:p>
      <w:pPr>
        <w:numPr>
          <w:ilvl w:val="0"/>
          <w:numId w:val="1011"/>
        </w:numPr>
        <w:pStyle w:val="Compact"/>
      </w:pPr>
      <w:r>
        <w:rPr>
          <w:bCs/>
          <w:b/>
        </w:rPr>
        <w:t xml:space="preserve">Last-Mile Delivery Emissions:</w:t>
      </w:r>
      <w:r>
        <w:t xml:space="preserve"> </w:t>
      </w:r>
      <w:r>
        <w:t xml:space="preserve">(50 km * 0.25 kg CO2e/vehicle-km) / 100 units =</w:t>
      </w:r>
      <w:r>
        <w:t xml:space="preserve"> </w:t>
      </w:r>
      <w:r>
        <w:rPr>
          <w:bCs/>
          <w:b/>
        </w:rPr>
        <w:t xml:space="preserve">0.125 kg CO2e/unit</w:t>
      </w:r>
    </w:p>
    <w:p>
      <w:pPr>
        <w:pStyle w:val="FirstParagraph"/>
      </w:pPr>
      <w:r>
        <w:rPr>
          <w:bCs/>
          <w:b/>
        </w:rPr>
        <w:t xml:space="preserve">Total Scope 3, Category 9 Emissions: 0.125 kg CO2e</w:t>
      </w:r>
    </w:p>
    <w:bookmarkEnd w:id="35"/>
    <w:bookmarkStart w:id="36" w:name="category-11-use-of-sold-products"/>
    <w:p>
      <w:pPr>
        <w:pStyle w:val="Heading5"/>
      </w:pPr>
      <w:r>
        <w:t xml:space="preserve">Category 11: Use of Sold Products</w:t>
      </w:r>
    </w:p>
    <w:p>
      <w:pPr>
        <w:pStyle w:val="FirstParagraph"/>
      </w:pPr>
      <w:r>
        <w:t xml:space="preserve">Emissions from the energy consumed by the product during its lifespan.</w:t>
      </w:r>
    </w:p>
    <w:p>
      <w:pPr>
        <w:numPr>
          <w:ilvl w:val="0"/>
          <w:numId w:val="1012"/>
        </w:numPr>
        <w:pStyle w:val="Compact"/>
      </w:pPr>
      <w:r>
        <w:t xml:space="preserve">Product Lifespan: 3 years</w:t>
      </w:r>
    </w:p>
    <w:p>
      <w:pPr>
        <w:numPr>
          <w:ilvl w:val="0"/>
          <w:numId w:val="1012"/>
        </w:numPr>
        <w:pStyle w:val="Compact"/>
      </w:pPr>
      <w:r>
        <w:t xml:space="preserve">Energy Consumption in Use: 5 kWh/year</w:t>
      </w:r>
    </w:p>
    <w:p>
      <w:pPr>
        <w:numPr>
          <w:ilvl w:val="0"/>
          <w:numId w:val="1012"/>
        </w:numPr>
        <w:pStyle w:val="Compact"/>
      </w:pPr>
      <w:r>
        <w:t xml:space="preserve">Total Energy in Use: 5 kWh/year * 3 years = 15 kWh</w:t>
      </w:r>
    </w:p>
    <w:p>
      <w:pPr>
        <w:numPr>
          <w:ilvl w:val="0"/>
          <w:numId w:val="1012"/>
        </w:numPr>
        <w:pStyle w:val="Compact"/>
      </w:pPr>
      <w:r>
        <w:t xml:space="preserve">Global Average User Electricity Grid Emission Factor: 0.475 kg CO2e/kWh</w:t>
      </w:r>
    </w:p>
    <w:p>
      <w:pPr>
        <w:numPr>
          <w:ilvl w:val="0"/>
          <w:numId w:val="1012"/>
        </w:numPr>
        <w:pStyle w:val="Compact"/>
      </w:pPr>
      <w:r>
        <w:rPr>
          <w:bCs/>
          <w:b/>
        </w:rPr>
        <w:t xml:space="preserve">Use Phase Emissions:</w:t>
      </w:r>
      <w:r>
        <w:t xml:space="preserve"> </w:t>
      </w:r>
      <w:r>
        <w:t xml:space="preserve">15 kWh * 0.475 kg CO2e/kWh =</w:t>
      </w:r>
      <w:r>
        <w:t xml:space="preserve"> </w:t>
      </w:r>
      <w:r>
        <w:rPr>
          <w:bCs/>
          <w:b/>
        </w:rPr>
        <w:t xml:space="preserve">7.125 kg CO2e/unit</w:t>
      </w:r>
    </w:p>
    <w:p>
      <w:pPr>
        <w:pStyle w:val="FirstParagraph"/>
      </w:pPr>
      <w:r>
        <w:rPr>
          <w:bCs/>
          <w:b/>
        </w:rPr>
        <w:t xml:space="preserve">Total Scope 3, Category 11 Emissions: 7.125 kg CO2e</w:t>
      </w:r>
    </w:p>
    <w:bookmarkEnd w:id="36"/>
    <w:bookmarkStart w:id="37" w:name="X9f66eef2700632e081dfe139021cb724ffcd2c5"/>
    <w:p>
      <w:pPr>
        <w:pStyle w:val="Heading5"/>
      </w:pPr>
      <w:r>
        <w:t xml:space="preserve">Category 12: End-of-Life Treatment of Sold Products</w:t>
      </w:r>
    </w:p>
    <w:p>
      <w:pPr>
        <w:pStyle w:val="FirstParagraph"/>
      </w:pPr>
      <w:r>
        <w:t xml:space="preserve">Emissions or avoided emissions (credits) from the product\'s disposal or recycling.</w:t>
      </w:r>
    </w:p>
    <w:p>
      <w:pPr>
        <w:numPr>
          <w:ilvl w:val="0"/>
          <w:numId w:val="1013"/>
        </w:numPr>
        <w:pStyle w:val="Compact"/>
      </w:pPr>
      <w:r>
        <w:t xml:space="preserve">Total Material Mass: 1.35 kg</w:t>
      </w:r>
    </w:p>
    <w:p>
      <w:pPr>
        <w:numPr>
          <w:ilvl w:val="0"/>
          <w:numId w:val="1013"/>
        </w:numPr>
        <w:pStyle w:val="Compact"/>
      </w:pPr>
      <w:r>
        <w:t xml:space="preserve">Recyclability Percentage: 85% (slsoqvfqjt)</w:t>
      </w:r>
    </w:p>
    <w:p>
      <w:pPr>
        <w:numPr>
          <w:ilvl w:val="0"/>
          <w:numId w:val="1013"/>
        </w:numPr>
        <w:pStyle w:val="Compact"/>
      </w:pPr>
      <w:r>
        <w:t xml:space="preserve">Recycled Material Mass: 1.35 kg * 0.85 = 1.1475 kg</w:t>
      </w:r>
    </w:p>
    <w:p>
      <w:pPr>
        <w:numPr>
          <w:ilvl w:val="0"/>
          <w:numId w:val="1013"/>
        </w:numPr>
        <w:pStyle w:val="Compact"/>
      </w:pPr>
      <w:r>
        <w:t xml:space="preserve">Avoided Emissions Factor (average for mixed recycled materials): 1.5 kg CO2e/kg (illustrative)</w:t>
      </w:r>
    </w:p>
    <w:p>
      <w:pPr>
        <w:numPr>
          <w:ilvl w:val="0"/>
          <w:numId w:val="1013"/>
        </w:numPr>
        <w:pStyle w:val="Compact"/>
      </w:pPr>
      <w:r>
        <w:rPr>
          <w:bCs/>
          <w:b/>
        </w:rPr>
        <w:t xml:space="preserve">EoL Credit (Avoided Emissions):</w:t>
      </w:r>
      <w:r>
        <w:t xml:space="preserve"> </w:t>
      </w:r>
      <w:r>
        <w:t xml:space="preserve">1.1475 kg * 1.5 kg CO2e/kg =</w:t>
      </w:r>
      <w:r>
        <w:t xml:space="preserve"> </w:t>
      </w:r>
      <w:r>
        <w:rPr>
          <w:bCs/>
          <w:b/>
        </w:rPr>
        <w:t xml:space="preserve">-1.721 kg CO2e/unit</w:t>
      </w:r>
      <w:r>
        <w:t xml:space="preserve"> </w:t>
      </w:r>
      <w:r>
        <w:t xml:space="preserve">(negative value indicates a credit)</w:t>
      </w:r>
    </w:p>
    <w:p>
      <w:pPr>
        <w:pStyle w:val="FirstParagraph"/>
      </w:pPr>
      <w:r>
        <w:t xml:space="preserve">The existence of "ggphmjjtvv" (Circular/Take-back Programs) further supports the realization of these recycling benefits. The remaining 15% of material mass is assumed to be landfilled, with negligible net emissions in this simplified model due to the magnitude of the recycling credit.</w:t>
      </w:r>
    </w:p>
    <w:p>
      <w:pPr>
        <w:pStyle w:val="BodyText"/>
      </w:pPr>
      <w:r>
        <w:rPr>
          <w:bCs/>
          <w:b/>
        </w:rPr>
        <w:t xml:space="preserve">Total Scope 3, Category 12 Emissions: -1.721 kg CO2e</w:t>
      </w:r>
    </w:p>
    <w:bookmarkEnd w:id="37"/>
    <w:bookmarkEnd w:id="38"/>
    <w:bookmarkStart w:id="39" w:name="X68046fc362ae2cefb940918db1f53a1e3b4578d"/>
    <w:p>
      <w:pPr>
        <w:pStyle w:val="Heading4"/>
      </w:pPr>
      <w:r>
        <w:t xml:space="preserve">Total Product Carbon Footprint Calculation Summary:</w:t>
      </w:r>
    </w:p>
    <w:p>
      <w:pPr>
        <w:pStyle w:val="FirstParagraph"/>
      </w:pPr>
      <w:r>
        <w:t xml:space="preserve">The sum of emissions across all scopes and categories:</w:t>
      </w:r>
    </w:p>
    <w:p>
      <w:pPr>
        <w:numPr>
          <w:ilvl w:val="0"/>
          <w:numId w:val="1014"/>
        </w:numPr>
        <w:pStyle w:val="Compact"/>
      </w:pPr>
      <w:r>
        <w:t xml:space="preserve">Scope 1: 0.00 kg CO2e</w:t>
      </w:r>
    </w:p>
    <w:p>
      <w:pPr>
        <w:numPr>
          <w:ilvl w:val="0"/>
          <w:numId w:val="1014"/>
        </w:numPr>
        <w:pStyle w:val="Compact"/>
      </w:pPr>
      <w:r>
        <w:t xml:space="preserve">Scope 2: 0.75 kg CO2e</w:t>
      </w:r>
    </w:p>
    <w:p>
      <w:pPr>
        <w:numPr>
          <w:ilvl w:val="0"/>
          <w:numId w:val="1014"/>
        </w:numPr>
        <w:pStyle w:val="Compact"/>
      </w:pPr>
      <w:r>
        <w:t xml:space="preserve">Scope 3, Category 1 (Materials): 2.79 kg CO2e</w:t>
      </w:r>
    </w:p>
    <w:p>
      <w:pPr>
        <w:numPr>
          <w:ilvl w:val="0"/>
          <w:numId w:val="1014"/>
        </w:numPr>
        <w:pStyle w:val="Compact"/>
      </w:pPr>
      <w:r>
        <w:t xml:space="preserve">Scope 3, Category 4 (Upstream Transport): 0.225 kg CO2e</w:t>
      </w:r>
    </w:p>
    <w:p>
      <w:pPr>
        <w:numPr>
          <w:ilvl w:val="0"/>
          <w:numId w:val="1014"/>
        </w:numPr>
        <w:pStyle w:val="Compact"/>
      </w:pPr>
      <w:r>
        <w:t xml:space="preserve">Scope 3, Category 9 (Downstream Transport): 0.125 kg CO2e</w:t>
      </w:r>
    </w:p>
    <w:p>
      <w:pPr>
        <w:numPr>
          <w:ilvl w:val="0"/>
          <w:numId w:val="1014"/>
        </w:numPr>
        <w:pStyle w:val="Compact"/>
      </w:pPr>
      <w:r>
        <w:t xml:space="preserve">Scope 3, Category 11 (Use Phase): 7.125 kg CO2e</w:t>
      </w:r>
    </w:p>
    <w:p>
      <w:pPr>
        <w:numPr>
          <w:ilvl w:val="0"/>
          <w:numId w:val="1014"/>
        </w:numPr>
        <w:pStyle w:val="Compact"/>
      </w:pPr>
      <w:r>
        <w:t xml:space="preserve">Scope 3, Category 12 (EoL Credit): -1.721 kg CO2e</w:t>
      </w:r>
    </w:p>
    <w:p>
      <w:pPr>
        <w:pStyle w:val="FirstParagraph"/>
      </w:pPr>
      <w:r>
        <w:rPr>
          <w:bCs/>
          <w:b/>
        </w:rPr>
        <w:t xml:space="preserve">Total Product Carbon Footprint = 0.00 + 0.75 + 2.79 + 0.225 + 0.125 + 7.125 - 1.721 = 9.29 kg CO2e/unit</w:t>
      </w:r>
    </w:p>
    <w:p>
      <w:pPr>
        <w:pStyle w:val="BodyText"/>
      </w:pPr>
      <w:r>
        <w:rPr>
          <w:bCs/>
          <w:b/>
        </w:rPr>
        <w:t xml:space="preserve">Note on 2026 LSR Update:</w:t>
      </w:r>
      <w:r>
        <w:t xml:space="preserve"> </w:t>
      </w:r>
      <w:r>
        <w:t xml:space="preserve">The Land Sector and Removals (LSR) Standard is acknowledged. For a product-level PCF, its application typically involves accounting for biogenic carbon flows and land-use change emissions/removals associated with biomass-derived materials. In this analysis, due to the lack of specific biogenic material data, the LSR was addressed by applying appropriate AR5 GWP values for CO2e calculations where EFs were sourced, and explicitly noting that further LSR-specific data would be required for a more granular accounting of biogenic carbon and land-use impacts.</w:t>
      </w:r>
    </w:p>
    <w:p>
      <w:pPr>
        <w:pStyle w:val="BodyText"/>
      </w:pPr>
      <w:r>
        <w:rPr>
          <w:bCs/>
          <w:b/>
        </w:rPr>
        <w:t xml:space="preserve">Note on Scope 3 Compliance:</w:t>
      </w:r>
      <w:r>
        <w:t xml:space="preserve"> </w:t>
      </w:r>
      <w:r>
        <w:t xml:space="preserve">The analysis covers all major Scope 3 categories relevant to uooqudkiiu, ensuring a comprehensive view of value chain emissions, aiming for at least 95% coverage as per 2026 requirements for robust reporting.</w:t>
      </w:r>
    </w:p>
    <w:bookmarkEnd w:id="39"/>
    <w:bookmarkEnd w:id="40"/>
    <w:bookmarkStart w:id="43" w:name="step-5-review-report"/>
    <w:p>
      <w:pPr>
        <w:pStyle w:val="Heading3"/>
      </w:pPr>
      <w:r>
        <w:t xml:space="preserve">2.5. Step 5: Review &amp; Report</w:t>
      </w:r>
    </w:p>
    <w:bookmarkStart w:id="41" w:name="emission-hotspots"/>
    <w:p>
      <w:pPr>
        <w:pStyle w:val="Heading4"/>
      </w:pPr>
      <w:r>
        <w:t xml:space="preserve">Emission Hotspots:</w:t>
      </w:r>
    </w:p>
    <w:p>
      <w:pPr>
        <w:pStyle w:val="FirstParagraph"/>
      </w:pPr>
      <w:r>
        <w:t xml:space="preserve">The primary emission hotspots for uooqudkiiu are identified as:</w:t>
      </w:r>
    </w:p>
    <w:p>
      <w:pPr>
        <w:numPr>
          <w:ilvl w:val="0"/>
          <w:numId w:val="1015"/>
        </w:numPr>
        <w:pStyle w:val="Compact"/>
      </w:pPr>
      <w:r>
        <w:rPr>
          <w:bCs/>
          <w:b/>
        </w:rPr>
        <w:t xml:space="preserve">Use Phase (7.13 kg CO2e):</w:t>
      </w:r>
      <w:r>
        <w:t xml:space="preserve"> </w:t>
      </w:r>
      <w:r>
        <w:t xml:space="preserve">This is the most significant contributor, primarily due to electricity consumption over the product\'s lifespan. This highlights the importance of energy efficiency during product design and user behavior.</w:t>
      </w:r>
    </w:p>
    <w:p>
      <w:pPr>
        <w:numPr>
          <w:ilvl w:val="0"/>
          <w:numId w:val="1015"/>
        </w:numPr>
        <w:pStyle w:val="Compact"/>
      </w:pPr>
      <w:r>
        <w:rPr>
          <w:bCs/>
          <w:b/>
        </w:rPr>
        <w:t xml:space="preserve">Material Acquisition &amp; Pre-processing (2.79 kg CO2e):</w:t>
      </w:r>
      <w:r>
        <w:t xml:space="preserve"> </w:t>
      </w:r>
      <w:r>
        <w:t xml:space="preserve">The production of components, particularly the circuit board and plastic casing, contributes substantially to the upstream footprint.</w:t>
      </w:r>
    </w:p>
    <w:p>
      <w:pPr>
        <w:numPr>
          <w:ilvl w:val="0"/>
          <w:numId w:val="1015"/>
        </w:numPr>
        <w:pStyle w:val="Compact"/>
      </w:pPr>
      <w:r>
        <w:rPr>
          <w:bCs/>
          <w:b/>
        </w:rPr>
        <w:t xml:space="preserve">Production (0.75 kg CO2e):</w:t>
      </w:r>
      <w:r>
        <w:t xml:space="preserve"> </w:t>
      </w:r>
      <w:r>
        <w:t xml:space="preserve">While efforts are made with 60% renewable energy, the remaining grid electricity from China\'s mix still contributes. Increasing renewable energy sourcing would further reduce this.</w:t>
      </w:r>
    </w:p>
    <w:p>
      <w:pPr>
        <w:numPr>
          <w:ilvl w:val="0"/>
          <w:numId w:val="1015"/>
        </w:numPr>
        <w:pStyle w:val="Compact"/>
      </w:pPr>
      <w:r>
        <w:rPr>
          <w:bCs/>
          <w:b/>
        </w:rPr>
        <w:t xml:space="preserve">End-of-Life (EoL) Credit (-1.72 kg CO2e):</w:t>
      </w:r>
      <w:r>
        <w:t xml:space="preserve"> </w:t>
      </w:r>
      <w:r>
        <w:t xml:space="preserve">The high recyclability percentage and circular programs provide a significant credit, offsetting other lifecycle stages.</w:t>
      </w:r>
    </w:p>
    <w:bookmarkEnd w:id="41"/>
    <w:bookmarkStart w:id="42" w:name="reliability-and-limitations"/>
    <w:p>
      <w:pPr>
        <w:pStyle w:val="Heading4"/>
      </w:pPr>
      <w:r>
        <w:t xml:space="preserve">Reliability and Limitations:</w:t>
      </w:r>
    </w:p>
    <w:p>
      <w:pPr>
        <w:pStyle w:val="FirstParagraph"/>
      </w:pPr>
      <w:r>
        <w:t xml:space="preserve">The reliability of this PCF is high for the analyzed scope, utilizing specific operational data (energy usage, recyclability) and a detailed BOM. However, certain limitations exist:</w:t>
      </w:r>
    </w:p>
    <w:p>
      <w:pPr>
        <w:numPr>
          <w:ilvl w:val="0"/>
          <w:numId w:val="1016"/>
        </w:numPr>
        <w:pStyle w:val="Compact"/>
      </w:pPr>
      <w:r>
        <w:rPr>
          <w:bCs/>
          <w:b/>
        </w:rPr>
        <w:t xml:space="preserve">Emission Factors:</w:t>
      </w:r>
      <w:r>
        <w:t xml:space="preserve"> </w:t>
      </w:r>
      <w:r>
        <w:t xml:space="preserve">While industry-standard emission factors (e.g., from IEA, EPA, GLEC, DEFRA) are used, they represent averages and may not perfectly reflect all specific supplier processes.</w:t>
      </w:r>
    </w:p>
    <w:p>
      <w:pPr>
        <w:numPr>
          <w:ilvl w:val="0"/>
          <w:numId w:val="1016"/>
        </w:numPr>
        <w:pStyle w:val="Compact"/>
      </w:pPr>
      <w:r>
        <w:rPr>
          <w:bCs/>
          <w:b/>
        </w:rPr>
        <w:t xml:space="preserve">Placeholder Data:</w:t>
      </w:r>
      <w:r>
        <w:t xml:space="preserve"> </w:t>
      </w:r>
      <w:r>
        <w:t xml:space="preserve">Some parameters (e.g., last-mile delivery distance, allocation for shared transport) required illustrative assumptions due to the nature of the prompt. Actual data would refine these calculations.</w:t>
      </w:r>
    </w:p>
    <w:p>
      <w:pPr>
        <w:numPr>
          <w:ilvl w:val="0"/>
          <w:numId w:val="1016"/>
        </w:numPr>
        <w:pStyle w:val="Compact"/>
      </w:pPr>
      <w:r>
        <w:rPr>
          <w:bCs/>
          <w:b/>
        </w:rPr>
        <w:t xml:space="preserve">Geographic Specificity:</w:t>
      </w:r>
      <w:r>
        <w:t xml:space="preserve"> </w:t>
      </w:r>
      <w:r>
        <w:t xml:space="preserve">While China\'s electricity grid mix is used for production, the "Europe Focused" supply chain implies European transport EFs were chosen. User-phase electricity EF is a global average. More specific regional data would improve accuracy.</w:t>
      </w:r>
    </w:p>
    <w:p>
      <w:pPr>
        <w:numPr>
          <w:ilvl w:val="0"/>
          <w:numId w:val="1016"/>
        </w:numPr>
        <w:pStyle w:val="Compact"/>
      </w:pPr>
      <w:r>
        <w:rPr>
          <w:bCs/>
          <w:b/>
        </w:rPr>
        <w:t xml:space="preserve">LSR Data:</w:t>
      </w:r>
      <w:r>
        <w:t xml:space="preserve"> </w:t>
      </w:r>
      <w:r>
        <w:t xml:space="preserve">Detailed land use and biogenic carbon flow data required for a full LSR accounting were not provided.</w:t>
      </w:r>
    </w:p>
    <w:p>
      <w:r>
        <w:pict>
          <v:rect style="width:0;height:1.5pt" o:hralign="center" o:hrstd="t" o:hr="t"/>
        </w:pict>
      </w:r>
    </w:p>
    <w:bookmarkEnd w:id="42"/>
    <w:bookmarkEnd w:id="43"/>
    <w:bookmarkEnd w:id="44"/>
    <w:bookmarkStart w:id="45" w:name="recommendations-for-reduction"/>
    <w:p>
      <w:pPr>
        <w:pStyle w:val="Heading2"/>
      </w:pPr>
      <w:r>
        <w:t xml:space="preserve">3. Recommendations for Reduction</w:t>
      </w:r>
    </w:p>
    <w:p>
      <w:pPr>
        <w:pStyle w:val="FirstParagraph"/>
      </w:pPr>
      <w:r>
        <w:t xml:space="preserve">To reduce the Product Carbon Footprint of uooqudkiiu, nsqkliwkvo should consider the following actions:</w:t>
      </w:r>
    </w:p>
    <w:p>
      <w:pPr>
        <w:numPr>
          <w:ilvl w:val="0"/>
          <w:numId w:val="1017"/>
        </w:numPr>
        <w:pStyle w:val="Compact"/>
      </w:pPr>
      <w:r>
        <w:rPr>
          <w:bCs/>
          <w:b/>
        </w:rPr>
        <w:t xml:space="preserve">Enhance Use-Phase Efficiency:</w:t>
      </w:r>
      <w:r>
        <w:t xml:space="preserve"> </w:t>
      </w:r>
      <w:r>
        <w:t xml:space="preserve">Focus on product design for even greater energy efficiency during its operational life. Explore low-power modes, longer lifespan without performance degradation, or alternative energy sources for users.</w:t>
      </w:r>
    </w:p>
    <w:p>
      <w:pPr>
        <w:numPr>
          <w:ilvl w:val="0"/>
          <w:numId w:val="1017"/>
        </w:numPr>
        <w:pStyle w:val="Compact"/>
      </w:pPr>
      <w:r>
        <w:rPr>
          <w:bCs/>
          <w:b/>
        </w:rPr>
        <w:t xml:space="preserve">Supplier Engagement for Low-Carbon Materials:</w:t>
      </w:r>
      <w:r>
        <w:t xml:space="preserve"> </w:t>
      </w:r>
      <w:r>
        <w:t xml:space="preserve">Work with suppliers to source materials with lower embodied carbon, potentially through specifying recycled content beyond what\'s currently assumed or supporting suppliers in their decarbonization efforts.</w:t>
      </w:r>
    </w:p>
    <w:p>
      <w:pPr>
        <w:numPr>
          <w:ilvl w:val="0"/>
          <w:numId w:val="1017"/>
        </w:numPr>
        <w:pStyle w:val="Compact"/>
      </w:pPr>
      <w:r>
        <w:rPr>
          <w:bCs/>
          <w:b/>
        </w:rPr>
        <w:t xml:space="preserve">Increase Renewable Energy Sourcing:</w:t>
      </w:r>
      <w:r>
        <w:t xml:space="preserve"> </w:t>
      </w:r>
      <w:r>
        <w:t xml:space="preserve">Continue increasing the percentage of renewable energy used in the production facilities, potentially exploring Power Purchase Agreements (PPAs) or on-site renewable generation.</w:t>
      </w:r>
    </w:p>
    <w:p>
      <w:pPr>
        <w:numPr>
          <w:ilvl w:val="0"/>
          <w:numId w:val="1017"/>
        </w:numPr>
        <w:pStyle w:val="Compact"/>
      </w:pPr>
      <w:r>
        <w:rPr>
          <w:bCs/>
          <w:b/>
        </w:rPr>
        <w:t xml:space="preserve">Optimize Logistics:</w:t>
      </w:r>
      <w:r>
        <w:t xml:space="preserve"> </w:t>
      </w:r>
      <w:r>
        <w:t xml:space="preserve">Investigate opportunities for more efficient transport modes (e.g., rail or sea freight where feasible), optimize routes, and consolidate shipments to reduce per-unit emissions.</w:t>
      </w:r>
    </w:p>
    <w:p>
      <w:pPr>
        <w:numPr>
          <w:ilvl w:val="0"/>
          <w:numId w:val="1017"/>
        </w:numPr>
        <w:pStyle w:val="Compact"/>
      </w:pPr>
      <w:r>
        <w:rPr>
          <w:bCs/>
          <w:b/>
        </w:rPr>
        <w:t xml:space="preserve">Strengthen Circular Economy Initiatives:</w:t>
      </w:r>
      <w:r>
        <w:t xml:space="preserve"> </w:t>
      </w:r>
      <w:r>
        <w:t xml:space="preserve">Continue to promote and expand take-back programs and ensure high-quality recycling infrastructure to maximize the benefits of the product\'s recyclability.</w:t>
      </w:r>
    </w:p>
    <w:p>
      <w:r>
        <w:pict>
          <v:rect style="width:0;height:1.5pt" o:hralign="center" o:hrstd="t" o:hr="t"/>
        </w:pict>
      </w:r>
    </w:p>
    <w:p>
      <w:pPr>
        <w:pStyle w:val="FirstParagraph"/>
      </w:pPr>
      <w:r>
        <w:t xml:space="preserve">Confidential - Internal Use Only</w:t>
      </w:r>
    </w:p>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uooqudkiiu</dc:title>
  <dc:creator/>
  <dc:description>Detailed Product Carbon Footprint (PCF) analysis report for uooqudkiiu, conducted by tmgzxfpqmw of nsqkliwkvo, adhering to GHG Protocol and 2026 LSR update.</dc:description>
  <dc:language>en</dc:language>
  <cp:keywords/>
  <dcterms:created xsi:type="dcterms:W3CDTF">2026-05-30T12:40:14Z</dcterms:created>
  <dcterms:modified xsi:type="dcterms:W3CDTF">2026-05-30T12:40:14Z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