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uonwdetfsn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uonwdetfsn</w:t>
      </w:r>
    </w:p>
    <w:p>
      <w:pPr>
        <w:pStyle w:val="BodyText"/>
      </w:pPr>
      <w:r>
        <w:rPr>
          <w:bCs/>
          <w:b/>
        </w:rPr>
        <w:t xml:space="preserve">Company Name:</w:t>
      </w:r>
      <w:r>
        <w:t xml:space="preserve"> </w:t>
      </w:r>
      <w:r>
        <w:t xml:space="preserve">hvirtilium</w:t>
      </w:r>
    </w:p>
    <w:p>
      <w:pPr>
        <w:pStyle w:val="BodyText"/>
      </w:pPr>
      <w:r>
        <w:rPr>
          <w:bCs/>
          <w:b/>
        </w:rPr>
        <w:t xml:space="preserve">Senior Sustainability Consultant:</w:t>
      </w:r>
      <w:r>
        <w:t xml:space="preserve"> </w:t>
      </w:r>
      <w:r>
        <w:t xml:space="preserve">uxrolgkroe</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including specific parameters provided. While every effort has been made to ensure accuracy, the actual carbon footprint may vary depending on real-world conditions and further granular data availability.</w:t>
      </w:r>
    </w:p>
    <w:bookmarkEnd w:id="20"/>
    <w:bookmarkStart w:id="48" w:name="Xebaa51c1e05a20f7db65bb052d08362c0d6234c"/>
    <w:p>
      <w:pPr>
        <w:pStyle w:val="Heading1"/>
      </w:pPr>
      <w:r>
        <w:t xml:space="preserve">Product Carbon Footprint Analysis Report: uonwdetfsn</w:t>
      </w:r>
    </w:p>
    <w:p>
      <w:pPr>
        <w:pStyle w:val="FirstParagraph"/>
      </w:pPr>
      <w:r>
        <w:rPr>
          <w:bCs/>
          <w:b/>
        </w:rPr>
        <w:t xml:space="preserve">Generated Date:</w:t>
      </w:r>
      <w:r>
        <w:t xml:space="preserve"> </w:t>
      </w:r>
      <w:r>
        <w:t xml:space="preserve">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uonwdetfsn, a product manufactured by hvirtilium. The analysis, conducted by Senior Sustainability Consultant uxrolgkroe, adheres strictly to the GHG Protocol, incorporating the 2026 Land Sector and Removals (LSR) Standard and ensuring at least 95% coverage for Scope 3 emissions. The goal is to quantify the greenhouse gas (GHG) emissions associated with uonwdetfsn across its entire lifecycle, from material acquisition to end-of-life, providing hvirtilium with critical insights for sustainability improvements and strategic decision-making. The total Product Carbon Footprint for one functional unit of uonwdetfsn is calculated to be 221.90 kg CO2e. Hotspots are identified primarily in the downstream transportation and use phases.</w:t>
      </w:r>
    </w:p>
    <w:p>
      <w:r>
        <w:pict>
          <v:rect style="width:0;height:1.5pt" o:hralign="center" o:hrstd="t" o:hr="t"/>
        </w:pict>
      </w:r>
    </w:p>
    <w:bookmarkEnd w:id="21"/>
    <w:bookmarkStart w:id="24" w:name="methodology-and-scope-definition"/>
    <w:p>
      <w:pPr>
        <w:pStyle w:val="Heading2"/>
      </w:pPr>
      <w:r>
        <w:t xml:space="preserve">1. Methodology and Scope Definition</w:t>
      </w:r>
    </w:p>
    <w:p>
      <w:pPr>
        <w:pStyle w:val="FirstParagraph"/>
      </w:pPr>
      <w:r>
        <w:t xml:space="preserve">This Product Carbon Footprint (PCF) analysis for uonwdetfsn follows the five-step methodology as outlined by the GHG Protocol Product Standard, with specific attention to the 2026 Land Sector and Removals (LSR) update and stringent Scope 3 compliance requirements.</w:t>
      </w:r>
    </w:p>
    <w:bookmarkStart w:id="22" w:name="accounting-standard-and-compliance"/>
    <w:p>
      <w:pPr>
        <w:pStyle w:val="Heading3"/>
      </w:pPr>
      <w:r>
        <w:t xml:space="preserve">1.1. Accounting Standard and Compliance</w:t>
      </w:r>
    </w:p>
    <w:p>
      <w:pPr>
        <w:numPr>
          <w:ilvl w:val="0"/>
          <w:numId w:val="1001"/>
        </w:numPr>
        <w:pStyle w:val="Compact"/>
      </w:pPr>
      <w:r>
        <w:rPr>
          <w:bCs/>
          <w:b/>
        </w:rPr>
        <w:t xml:space="preserve">Accounting Standard:</w:t>
      </w:r>
      <w:r>
        <w:t xml:space="preserve"> </w:t>
      </w:r>
      <w:r>
        <w:t xml:space="preserve">GHG Protocol Product Life Cycle Accounting and Reporting Standard.</w:t>
      </w:r>
    </w:p>
    <w:p>
      <w:pPr>
        <w:numPr>
          <w:ilvl w:val="0"/>
          <w:numId w:val="1001"/>
        </w:numPr>
        <w:pStyle w:val="Compact"/>
      </w:pPr>
      <w:r>
        <w:rPr>
          <w:bCs/>
          <w:b/>
        </w:rPr>
        <w:t xml:space="preserve">GHG Protocol Adherence:</w:t>
      </w:r>
      <w:r>
        <w:t xml:space="preserve"> </w:t>
      </w:r>
      <w:r>
        <w:t xml:space="preserve">Emissions are categorized into Scope 1 (direct emissions), Scope 2 (purchased energy emissions), and Scope 3 (all other indirect emissions across the value chain).</w:t>
      </w:r>
    </w:p>
    <w:p>
      <w:pPr>
        <w:numPr>
          <w:ilvl w:val="0"/>
          <w:numId w:val="1001"/>
        </w:numPr>
        <w:pStyle w:val="Compact"/>
      </w:pPr>
      <w:r>
        <w:rPr>
          <w:bCs/>
          <w:b/>
        </w:rPr>
        <w:t xml:space="preserve">2026 LSR Update:</w:t>
      </w:r>
      <w:r>
        <w:t xml:space="preserve"> </w:t>
      </w:r>
      <w:r>
        <w:t xml:space="preserve">The Land Sector and Removals (LSR) Standard for land use and carbon removals has been considered. While specific land use change data for raw materials is not provided, the framework for its inclusion is acknowledged.</w:t>
      </w:r>
    </w:p>
    <w:p>
      <w:pPr>
        <w:numPr>
          <w:ilvl w:val="0"/>
          <w:numId w:val="1001"/>
        </w:numPr>
        <w:pStyle w:val="Compact"/>
      </w:pPr>
      <w:r>
        <w:rPr>
          <w:bCs/>
          <w:b/>
        </w:rPr>
        <w:t xml:space="preserve">Scope 3 Compliance:</w:t>
      </w:r>
      <w:r>
        <w:t xml:space="preserve"> </w:t>
      </w:r>
      <w:r>
        <w:t xml:space="preserve">Diligent efforts have been made to ensure at least 95% coverage for Scope 3 reporting, in line with 2026 requirements, by meticulously including all relevant value chain activities.</w:t>
      </w:r>
    </w:p>
    <w:bookmarkEnd w:id="22"/>
    <w:bookmarkStart w:id="23" w:name="defined-scope-parameters"/>
    <w:p>
      <w:pPr>
        <w:pStyle w:val="Heading3"/>
      </w:pPr>
      <w:r>
        <w:t xml:space="preserve">1.2. Defined Scope Parameters</w:t>
      </w:r>
    </w:p>
    <w:p>
      <w:pPr>
        <w:numPr>
          <w:ilvl w:val="0"/>
          <w:numId w:val="1002"/>
        </w:numPr>
        <w:pStyle w:val="Compact"/>
      </w:pPr>
      <w:r>
        <w:rPr>
          <w:bCs/>
          <w:b/>
        </w:rPr>
        <w:t xml:space="preserve">Functional Unit:</w:t>
      </w:r>
      <w:r>
        <w:t xml:space="preserve"> </w:t>
      </w:r>
      <w:r>
        <w:t xml:space="preserve">1.0 unit of uonwdetfsn. This is the reference unit to which all inputs and outputs are related.</w:t>
      </w:r>
    </w:p>
    <w:p>
      <w:pPr>
        <w:numPr>
          <w:ilvl w:val="0"/>
          <w:numId w:val="1002"/>
        </w:numPr>
        <w:pStyle w:val="Compact"/>
      </w:pPr>
      <w:r>
        <w:rPr>
          <w:bCs/>
          <w:b/>
        </w:rPr>
        <w:t xml:space="preserve">System Boundary:</w:t>
      </w:r>
      <w:r>
        <w:t xml:space="preserve"> </w:t>
      </w:r>
      <w:r>
        <w:t xml:space="preserve">factory_gate. The analysis covers the entire lifecycle of the product, but the direct operational emissions of the manufacturing facility itself are primarily accounted for within Scope 2 (purchased electricity) for the production phase. Upstream and downstream impacts are categorized under Scope 3.</w:t>
      </w:r>
    </w:p>
    <w:p>
      <w:pPr>
        <w:numPr>
          <w:ilvl w:val="0"/>
          <w:numId w:val="1002"/>
        </w:numPr>
        <w:pStyle w:val="Compact"/>
      </w:pPr>
      <w:r>
        <w:rPr>
          <w:bCs/>
          <w:b/>
        </w:rPr>
        <w:t xml:space="preserve">Geographic Scope:</w:t>
      </w:r>
      <w:r>
        <w:t xml:space="preserve"> </w:t>
      </w:r>
      <w:r>
        <w:t xml:space="preserve">Final Production Country: China. Supply Chain Focus: Europe Focused. This implies raw material sourcing and potentially significant market distribution in Europe, with manufacturing occurring in China.</w:t>
      </w:r>
    </w:p>
    <w:p>
      <w:pPr>
        <w:numPr>
          <w:ilvl w:val="0"/>
          <w:numId w:val="1002"/>
        </w:numPr>
        <w:pStyle w:val="Compact"/>
      </w:pPr>
      <w:r>
        <w:rPr>
          <w:bCs/>
          <w:b/>
        </w:rPr>
        <w:t xml:space="preserve">Allocation:</w:t>
      </w:r>
      <w:r>
        <w:t xml:space="preserve"> </w:t>
      </w:r>
      <w:r>
        <w:t xml:space="preserve">For this single-product analysis, direct allocation of emissions to the functional unit is applied. For any shared processes (e.g., utility infrastructure), emissions are allocated based on physical parameters (e.g., mass, energy consumption) where applicable.</w:t>
      </w:r>
    </w:p>
    <w:p>
      <w:r>
        <w:pict>
          <v:rect style="width:0;height:1.5pt" o:hralign="center" o:hrstd="t" o:hr="t"/>
        </w:pict>
      </w:r>
    </w:p>
    <w:bookmarkEnd w:id="23"/>
    <w:bookmarkEnd w:id="24"/>
    <w:bookmarkStart w:id="25" w:name="lifecycle-mapping-lci-inventory-stages"/>
    <w:p>
      <w:pPr>
        <w:pStyle w:val="Heading2"/>
      </w:pPr>
      <w:r>
        <w:t xml:space="preserve">2. Lifecycle Mapping (LCI Inventory Stages)</w:t>
      </w:r>
    </w:p>
    <w:p>
      <w:pPr>
        <w:pStyle w:val="FirstParagraph"/>
      </w:pPr>
      <w:r>
        <w:t xml:space="preserve">The lifecycle of uonwdetfsn is mapped into distinct stages, consistent with the cradle-to-grave approach recommended by the GHG Protocol Product Standard:</w:t>
      </w:r>
    </w:p>
    <w:p>
      <w:pPr>
        <w:numPr>
          <w:ilvl w:val="0"/>
          <w:numId w:val="1003"/>
        </w:numPr>
        <w:pStyle w:val="Compact"/>
      </w:pPr>
      <w:r>
        <w:rPr>
          <w:bCs/>
          <w:b/>
        </w:rPr>
        <w:t xml:space="preserve">Materials Acquisition &amp; Pre-processing:</w:t>
      </w:r>
      <w:r>
        <w:t xml:space="preserve"> </w:t>
      </w:r>
      <w:r>
        <w:t xml:space="preserve">Extraction, processing, and manufacturing of all raw materials and components detailed in the Bill of Materials (BOM). This primarily contributes to Scope 3, Category 1.</w:t>
      </w:r>
    </w:p>
    <w:p>
      <w:pPr>
        <w:numPr>
          <w:ilvl w:val="0"/>
          <w:numId w:val="1003"/>
        </w:numPr>
        <w:pStyle w:val="Compact"/>
      </w:pPr>
      <w:r>
        <w:rPr>
          <w:bCs/>
          <w:b/>
        </w:rPr>
        <w:t xml:space="preserve">Production:</w:t>
      </w:r>
      <w:r>
        <w:t xml:space="preserve"> </w:t>
      </w:r>
      <w:r>
        <w:t xml:space="preserve">Manufacturing processes at hvirtilium\'s facility in China, including energy consumption. This stage encompasses Scope 2 (purchased electricity) and any minor Scope 1 emissions (assumed negligible for this product-level PCF unless specific fuel consumption data is provided).</w:t>
      </w:r>
    </w:p>
    <w:p>
      <w:pPr>
        <w:numPr>
          <w:ilvl w:val="0"/>
          <w:numId w:val="1003"/>
        </w:numPr>
        <w:pStyle w:val="Compact"/>
      </w:pPr>
      <w:r>
        <w:rPr>
          <w:bCs/>
          <w:b/>
        </w:rPr>
        <w:t xml:space="preserve">Transport (Upstream):</w:t>
      </w:r>
      <w:r>
        <w:t xml:space="preserve"> </w:t>
      </w:r>
      <w:r>
        <w:t xml:space="preserve">Transportation of raw materials and components from suppliers (Europe-focused) to the production facility in China. This falls under Scope 3, Category 4.</w:t>
      </w:r>
    </w:p>
    <w:p>
      <w:pPr>
        <w:numPr>
          <w:ilvl w:val="0"/>
          <w:numId w:val="1003"/>
        </w:numPr>
        <w:pStyle w:val="Compact"/>
      </w:pPr>
      <w:r>
        <w:rPr>
          <w:bCs/>
          <w:b/>
        </w:rPr>
        <w:t xml:space="preserve">Transport (Downstream):</w:t>
      </w:r>
      <w:r>
        <w:t xml:space="preserve"> </w:t>
      </w:r>
      <w:r>
        <w:t xml:space="preserve">Distribution and last-mile delivery of the finished product from the factory to the end-consumer. This falls under Scope 3, Category 9.</w:t>
      </w:r>
    </w:p>
    <w:p>
      <w:pPr>
        <w:numPr>
          <w:ilvl w:val="0"/>
          <w:numId w:val="1003"/>
        </w:numPr>
        <w:pStyle w:val="Compact"/>
      </w:pPr>
      <w:r>
        <w:rPr>
          <w:bCs/>
          <w:b/>
        </w:rPr>
        <w:t xml:space="preserve">Use Phase:</w:t>
      </w:r>
      <w:r>
        <w:t xml:space="preserve"> </w:t>
      </w:r>
      <w:r>
        <w:t xml:space="preserve">Energy consumption and other impacts associated with the product during its intended lifespan by the end-user. This contributes to Scope 3, Category 11.</w:t>
      </w:r>
    </w:p>
    <w:p>
      <w:pPr>
        <w:numPr>
          <w:ilvl w:val="0"/>
          <w:numId w:val="1003"/>
        </w:numPr>
        <w:pStyle w:val="Compact"/>
      </w:pPr>
      <w:r>
        <w:rPr>
          <w:bCs/>
          <w:b/>
        </w:rPr>
        <w:t xml:space="preserve">End-of-Life (EoL):</w:t>
      </w:r>
      <w:r>
        <w:t xml:space="preserve"> </w:t>
      </w:r>
      <w:r>
        <w:t xml:space="preserve">Collection, treatment, and disposal or recycling of the product at the end of its useful life, including the impact of circular economy initiatives. This falls under Scope 3, Category 12.</w:t>
      </w:r>
    </w:p>
    <w:p>
      <w:pPr>
        <w:numPr>
          <w:ilvl w:val="0"/>
          <w:numId w:val="1003"/>
        </w:numPr>
        <w:pStyle w:val="Compact"/>
      </w:pPr>
      <w:r>
        <w:rPr>
          <w:bCs/>
          <w:b/>
        </w:rPr>
        <w:t xml:space="preserve">Land Sector and Removals (LSR):</w:t>
      </w:r>
      <w:r>
        <w:t xml:space="preserve"> </w:t>
      </w:r>
      <w:r>
        <w:t xml:space="preserve">Consideration of land-use change impacts and potential carbon removals, particularly relevant for bio-based materials or processes affecting land carbon stocks.</w:t>
      </w:r>
    </w:p>
    <w:p>
      <w:r>
        <w:pict>
          <v:rect style="width:0;height:1.5pt" o:hralign="center" o:hrstd="t" o:hr="t"/>
        </w:pict>
      </w:r>
    </w:p>
    <w:bookmarkEnd w:id="25"/>
    <w:bookmarkStart w:id="32" w:name="data-collection"/>
    <w:p>
      <w:pPr>
        <w:pStyle w:val="Heading2"/>
      </w:pPr>
      <w:r>
        <w:t xml:space="preserve">3. Data Collection</w:t>
      </w:r>
    </w:p>
    <w:p>
      <w:pPr>
        <w:pStyle w:val="FirstParagraph"/>
      </w:pPr>
      <w:r>
        <w:t xml:space="preserve">Primary and secondary data points have been collected and utilized for the analysis, with specific customization based on the provided parameters.</w:t>
      </w:r>
    </w:p>
    <w:bookmarkStart w:id="26" w:name="detailed-bill-of-materials-bom-tzmjewve"/>
    <w:p>
      <w:pPr>
        <w:pStyle w:val="Heading3"/>
      </w:pPr>
      <w:r>
        <w:t xml:space="preserve">3.1. Detailed Bill of Materials (BOM): tzmjewve</w:t>
      </w:r>
    </w:p>
    <w:p>
      <w:pPr>
        <w:pStyle w:val="FirstParagraph"/>
      </w:pPr>
      <w:r>
        <w:t xml:space="preserve">The provided Bill of Materials (BOM) for uonwdetfsn serves as the primary data source for material acquisition and pre-processing impacts. The emission factors and total carbon values provided within the BOM have been directly used for high-accuracy material impact calculation.</w:t>
      </w:r>
    </w:p>
    <w:p>
      <w:pPr>
        <w:pStyle w:val="BodyText"/>
      </w:pPr>
      <w:r>
        <w:rPr>
          <w:bCs/>
          <w:b/>
        </w:rPr>
        <w:t xml:space="preserve">BOM Data Breakdown: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Steel (Component A)</w:t>
            </w:r>
          </w:p>
        </w:tc>
        <w:tc>
          <w:tcPr/>
          <w:p>
            <w:pPr>
              <w:pStyle w:val="Compact"/>
              <w:jc w:val="left"/>
            </w:pPr>
            <w:r>
              <w:t xml:space="preserve">Metal</w:t>
            </w:r>
          </w:p>
        </w:tc>
        <w:tc>
          <w:tcPr/>
          <w:p>
            <w:pPr>
              <w:pStyle w:val="Compact"/>
              <w:jc w:val="left"/>
            </w:pPr>
            <w:r>
              <w:t xml:space="preserve">Forging</w:t>
            </w:r>
          </w:p>
        </w:tc>
        <w:tc>
          <w:tcPr/>
          <w:p>
            <w:pPr>
              <w:pStyle w:val="Compact"/>
              <w:jc w:val="left"/>
            </w:pPr>
            <w:r>
              <w:t xml:space="preserve">10.0</w:t>
            </w:r>
          </w:p>
        </w:tc>
        <w:tc>
          <w:tcPr/>
          <w:p>
            <w:pPr>
              <w:pStyle w:val="Compact"/>
              <w:jc w:val="left"/>
            </w:pPr>
            <w:r>
              <w:t xml:space="preserve">kg</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P-002</w:t>
            </w:r>
          </w:p>
        </w:tc>
        <w:tc>
          <w:tcPr/>
          <w:p>
            <w:pPr>
              <w:pStyle w:val="Compact"/>
              <w:jc w:val="left"/>
            </w:pPr>
            <w:r>
              <w:t xml:space="preserve">Plastic Casing (Component B)</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E-003</w:t>
            </w:r>
          </w:p>
        </w:tc>
        <w:tc>
          <w:tcPr/>
          <w:p>
            <w:pPr>
              <w:pStyle w:val="Compact"/>
              <w:jc w:val="left"/>
            </w:pPr>
            <w:r>
              <w:t xml:space="preserve">Circuit Board (Component C)</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P-004</w:t>
            </w:r>
          </w:p>
        </w:tc>
        <w:tc>
          <w:tcPr/>
          <w:p>
            <w:pPr>
              <w:pStyle w:val="Compact"/>
              <w:jc w:val="left"/>
            </w:pPr>
            <w:r>
              <w:t xml:space="preserve">Packaging (Component D)</w:t>
            </w:r>
          </w:p>
        </w:tc>
        <w:tc>
          <w:tcPr/>
          <w:p>
            <w:pPr>
              <w:pStyle w:val="Compact"/>
              <w:jc w:val="left"/>
            </w:pPr>
            <w:r>
              <w:t xml:space="preserve">Cardboard</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bl>
    <w:p>
      <w:pPr>
        <w:pStyle w:val="BodyText"/>
      </w:pPr>
      <w:r>
        <w:rPr>
          <w:bCs/>
          <w:b/>
        </w:rPr>
        <w:t xml:space="preserve">Total Carbon from Materials (Scope 3, Category 1):</w:t>
      </w:r>
      <w:r>
        <w:t xml:space="preserve"> </w:t>
      </w:r>
      <w:r>
        <w:t xml:space="preserve">36.99 kg CO2e</w:t>
      </w:r>
    </w:p>
    <w:p>
      <w:pPr>
        <w:pStyle w:val="BodyText"/>
      </w:pPr>
      <w:r>
        <w:rPr>
          <w:bCs/>
          <w:b/>
        </w:rPr>
        <w:t xml:space="preserve">Total Mass of Materials:</w:t>
      </w:r>
      <w:r>
        <w:t xml:space="preserve"> </w:t>
      </w:r>
      <w:r>
        <w:t xml:space="preserve">10.0 kg + 0.5 kg + 1.0 kg + 0.2 kg = 11.7 kg</w:t>
      </w:r>
    </w:p>
    <w:bookmarkEnd w:id="26"/>
    <w:bookmarkStart w:id="27" w:name="logistics-data"/>
    <w:p>
      <w:pPr>
        <w:pStyle w:val="Heading3"/>
      </w:pPr>
      <w:r>
        <w:t xml:space="preserve">3.2. Logistics Data</w:t>
      </w:r>
    </w:p>
    <w:p>
      <w:pPr>
        <w:numPr>
          <w:ilvl w:val="0"/>
          <w:numId w:val="1004"/>
        </w:numPr>
        <w:pStyle w:val="Compact"/>
      </w:pPr>
      <w:r>
        <w:rPr>
          <w:bCs/>
          <w:b/>
        </w:rPr>
        <w:t xml:space="preserve">Transport Mode (Upstream &amp; Downstream):</w:t>
      </w:r>
      <w:r>
        <w:t xml:space="preserve"> </w:t>
      </w:r>
      <w:r>
        <w:t xml:space="preserve">For the purpose of this analysis, "Select Mode" is interpreted as primarily Road Freight for both upstream and last-mile downstream transportation. In a real scenario, specific modes (e.g., sea, rail, air) would be precisely identified for each leg of the journey for greater accuracy.</w:t>
      </w:r>
    </w:p>
    <w:p>
      <w:pPr>
        <w:numPr>
          <w:ilvl w:val="0"/>
          <w:numId w:val="1004"/>
        </w:numPr>
        <w:pStyle w:val="Compact"/>
      </w:pPr>
      <w:r>
        <w:rPr>
          <w:bCs/>
          <w:b/>
        </w:rPr>
        <w:t xml:space="preserve">Transport Distance (Upstream):</w:t>
      </w:r>
      <w:r>
        <w:t xml:space="preserve"> </w:t>
      </w:r>
      <w:r>
        <w:t xml:space="preserve">`ysnhesonmp` = 1500 km. This distance is applied to the inbound transportation of materials from suppliers (assumed European-centric) to the manufacturing facility in China.</w:t>
      </w:r>
    </w:p>
    <w:p>
      <w:pPr>
        <w:numPr>
          <w:ilvl w:val="0"/>
          <w:numId w:val="1004"/>
        </w:numPr>
        <w:pStyle w:val="Compact"/>
      </w:pPr>
      <w:r>
        <w:rPr>
          <w:bCs/>
          <w:b/>
        </w:rPr>
        <w:t xml:space="preserve">Last-Mile Delivery Channel (Downstream):</w:t>
      </w:r>
      <w:r>
        <w:t xml:space="preserve"> </w:t>
      </w:r>
      <w:r>
        <w:t xml:space="preserve">`Delivery Type` is interpreted as "Standard Van Delivery". An assumed typical last-mile delivery distance of 500 km per unit is used for calculation.</w:t>
      </w:r>
    </w:p>
    <w:bookmarkEnd w:id="27"/>
    <w:bookmarkStart w:id="28" w:name="production-phase-energy-data"/>
    <w:p>
      <w:pPr>
        <w:pStyle w:val="Heading3"/>
      </w:pPr>
      <w:r>
        <w:t xml:space="preserve">3.3. Production Phase Energy Data</w:t>
      </w:r>
    </w:p>
    <w:p>
      <w:pPr>
        <w:numPr>
          <w:ilvl w:val="0"/>
          <w:numId w:val="1005"/>
        </w:numPr>
        <w:pStyle w:val="Compact"/>
      </w:pPr>
      <w:r>
        <w:rPr>
          <w:bCs/>
          <w:b/>
        </w:rPr>
        <w:t xml:space="preserve">Renewable Energy Usage:</w:t>
      </w:r>
      <w:r>
        <w:t xml:space="preserve"> </w:t>
      </w:r>
      <w:r>
        <w:t xml:space="preserve">`zkzykksyjk` = 50%. This percentage of renewable energy is used at the production facility in China.</w:t>
      </w:r>
    </w:p>
    <w:p>
      <w:pPr>
        <w:numPr>
          <w:ilvl w:val="0"/>
          <w:numId w:val="1005"/>
        </w:numPr>
        <w:pStyle w:val="Compact"/>
      </w:pPr>
      <w:r>
        <w:rPr>
          <w:bCs/>
          <w:b/>
        </w:rPr>
        <w:t xml:space="preserve">Energy Intensity (kWh/unit):</w:t>
      </w:r>
      <w:r>
        <w:t xml:space="preserve"> </w:t>
      </w:r>
      <w:r>
        <w:t xml:space="preserve">`zpivvwwuns` = 100 kWh/unit. This is the total electricity consumed for the production of one unit of uonwdetfsn.</w:t>
      </w:r>
    </w:p>
    <w:bookmarkEnd w:id="28"/>
    <w:bookmarkStart w:id="29" w:name="use-phase-data"/>
    <w:p>
      <w:pPr>
        <w:pStyle w:val="Heading3"/>
      </w:pPr>
      <w:r>
        <w:t xml:space="preserve">3.4. Use Phase Data</w:t>
      </w:r>
    </w:p>
    <w:p>
      <w:pPr>
        <w:numPr>
          <w:ilvl w:val="0"/>
          <w:numId w:val="1006"/>
        </w:numPr>
        <w:pStyle w:val="Compact"/>
      </w:pPr>
      <w:r>
        <w:rPr>
          <w:bCs/>
          <w:b/>
        </w:rPr>
        <w:t xml:space="preserve">Product Lifespan:</w:t>
      </w:r>
      <w:r>
        <w:t xml:space="preserve"> </w:t>
      </w:r>
      <w:r>
        <w:t xml:space="preserve">`wekztmwqve` = 5 years.</w:t>
      </w:r>
    </w:p>
    <w:p>
      <w:pPr>
        <w:numPr>
          <w:ilvl w:val="0"/>
          <w:numId w:val="1006"/>
        </w:numPr>
        <w:pStyle w:val="Compact"/>
      </w:pPr>
      <w:r>
        <w:rPr>
          <w:bCs/>
          <w:b/>
        </w:rPr>
        <w:t xml:space="preserve">Energy Consumption in Use:</w:t>
      </w:r>
      <w:r>
        <w:t xml:space="preserve"> </w:t>
      </w:r>
      <w:r>
        <w:t xml:space="preserve">`yqrdsyfwfi` = 20 kWh/year. This is the annual electricity consumption by the product during its use phase.</w:t>
      </w:r>
    </w:p>
    <w:bookmarkEnd w:id="29"/>
    <w:bookmarkStart w:id="30" w:name="end-of-life-eol-scenarios"/>
    <w:p>
      <w:pPr>
        <w:pStyle w:val="Heading3"/>
      </w:pPr>
      <w:r>
        <w:t xml:space="preserve">3.5. End-of-Life (EoL) Scenarios</w:t>
      </w:r>
    </w:p>
    <w:p>
      <w:pPr>
        <w:numPr>
          <w:ilvl w:val="0"/>
          <w:numId w:val="1007"/>
        </w:numPr>
        <w:pStyle w:val="Compact"/>
      </w:pPr>
      <w:r>
        <w:rPr>
          <w:bCs/>
          <w:b/>
        </w:rPr>
        <w:t xml:space="preserve">Recyclability Percentage:</w:t>
      </w:r>
      <w:r>
        <w:t xml:space="preserve"> </w:t>
      </w:r>
      <w:r>
        <w:t xml:space="preserve">`sggdigdpwq` = 80%. This indicates the proportion of the product\'s materials that are recyclable.</w:t>
      </w:r>
    </w:p>
    <w:p>
      <w:pPr>
        <w:numPr>
          <w:ilvl w:val="0"/>
          <w:numId w:val="1007"/>
        </w:numPr>
        <w:pStyle w:val="Compact"/>
      </w:pPr>
      <w:r>
        <w:rPr>
          <w:bCs/>
          <w:b/>
        </w:rPr>
        <w:t xml:space="preserve">Circular/Take-back Programs:</w:t>
      </w:r>
      <w:r>
        <w:t xml:space="preserve"> </w:t>
      </w:r>
      <w:r>
        <w:t xml:space="preserve">`wlukjpuesx` = Yes, hvirtilium operates a product take-back program for uonwdetfsn to facilitate material recovery and recycling.</w:t>
      </w:r>
    </w:p>
    <w:bookmarkEnd w:id="30"/>
    <w:bookmarkStart w:id="31" w:name="emission-factors-utilized-secondary-data"/>
    <w:p>
      <w:pPr>
        <w:pStyle w:val="Heading3"/>
      </w:pPr>
      <w:r>
        <w:t xml:space="preserve">3.6. Emission Factors Utilized (Secondary Data)</w:t>
      </w:r>
    </w:p>
    <w:p>
      <w:pPr>
        <w:pStyle w:val="FirstParagraph"/>
      </w:pPr>
      <w:r>
        <w:t xml:space="preserve">Industry-standard emission factors are applied where primary data is not available, referencing publicly available databases. For the purpose of calculation in this report, representative factors for 2025/2026 are assumed and stated below, acknowledging that a live analysis would draw from detailed Ecoinvent or DEFRA datasets.</w:t>
      </w:r>
    </w:p>
    <w:p>
      <w:pPr>
        <w:numPr>
          <w:ilvl w:val="0"/>
          <w:numId w:val="1008"/>
        </w:numPr>
        <w:pStyle w:val="Compact"/>
      </w:pPr>
      <w:r>
        <w:rPr>
          <w:bCs/>
          <w:b/>
        </w:rPr>
        <w:t xml:space="preserve">China Electricity Grid Factor:</w:t>
      </w:r>
      <w:r>
        <w:t xml:space="preserve"> </w:t>
      </w:r>
      <w:r>
        <w:t xml:space="preserve">0.60 kg CO2e/kWh (representative average, 2023-2025 data range 0.59-0.62 kg CO2e/kWh).</w:t>
      </w:r>
    </w:p>
    <w:p>
      <w:pPr>
        <w:numPr>
          <w:ilvl w:val="0"/>
          <w:numId w:val="1008"/>
        </w:numPr>
        <w:pStyle w:val="Compact"/>
      </w:pPr>
      <w:r>
        <w:rPr>
          <w:bCs/>
          <w:b/>
        </w:rPr>
        <w:t xml:space="preserve">EU Electricity Grid Factor:</w:t>
      </w:r>
      <w:r>
        <w:t xml:space="preserve"> </w:t>
      </w:r>
      <w:r>
        <w:t xml:space="preserve">0.25 kg CO2e/kWh (representative average for use phase, 2024 data indicates 0.18-0.42 kg CO2e/kWh depending on country and source).</w:t>
      </w:r>
    </w:p>
    <w:p>
      <w:pPr>
        <w:numPr>
          <w:ilvl w:val="0"/>
          <w:numId w:val="1008"/>
        </w:numPr>
        <w:pStyle w:val="Compact"/>
      </w:pPr>
      <w:r>
        <w:rPr>
          <w:bCs/>
          <w:b/>
        </w:rPr>
        <w:t xml:space="preserve">Road Freight Emission Factor:</w:t>
      </w:r>
      <w:r>
        <w:t xml:space="preserve"> </w:t>
      </w:r>
      <w:r>
        <w:t xml:space="preserve">0.08 kg CO2e/tonne-km (average for heavy-duty trucks).</w:t>
      </w:r>
    </w:p>
    <w:p>
      <w:pPr>
        <w:numPr>
          <w:ilvl w:val="0"/>
          <w:numId w:val="1008"/>
        </w:numPr>
        <w:pStyle w:val="Compact"/>
      </w:pPr>
      <w:r>
        <w:rPr>
          <w:bCs/>
          <w:b/>
        </w:rPr>
        <w:t xml:space="preserve">Last-Mile Delivery Van Emission Factor:</w:t>
      </w:r>
      <w:r>
        <w:t xml:space="preserve"> </w:t>
      </w:r>
      <w:r>
        <w:t xml:space="preserve">0.25 kg CO2e/km (for average van up to 3.5 tonnes).</w:t>
      </w:r>
    </w:p>
    <w:p>
      <w:pPr>
        <w:numPr>
          <w:ilvl w:val="0"/>
          <w:numId w:val="1008"/>
        </w:numPr>
        <w:pStyle w:val="Compact"/>
      </w:pPr>
      <w:r>
        <w:rPr>
          <w:bCs/>
          <w:b/>
        </w:rPr>
        <w:t xml:space="preserve">End-of-Life Waste Factor:</w:t>
      </w:r>
      <w:r>
        <w:t xml:space="preserve"> </w:t>
      </w:r>
      <w:r>
        <w:t xml:space="preserve">Assumed 1.5 kg CO2e/kg for non-recycled mixed waste (illustrative).</w:t>
      </w:r>
    </w:p>
    <w:p>
      <w:r>
        <w:pict>
          <v:rect style="width:0;height:1.5pt" o:hralign="center" o:hrstd="t" o:hr="t"/>
        </w:pict>
      </w:r>
    </w:p>
    <w:bookmarkEnd w:id="31"/>
    <w:bookmarkEnd w:id="32"/>
    <w:bookmarkStart w:id="43" w:name="X439a6e6dcb43c636bf515ffaf3f59bce0bd6490"/>
    <w:p>
      <w:pPr>
        <w:pStyle w:val="Heading2"/>
      </w:pPr>
      <w:r>
        <w:t xml:space="preserve">4. Emission Calculation (Activity * Emission Factor = CO2e)</w:t>
      </w:r>
    </w:p>
    <w:p>
      <w:pPr>
        <w:pStyle w:val="FirstParagraph"/>
      </w:pPr>
      <w:r>
        <w:t xml:space="preserve">The emissions are calculated for each stage of the product lifecycle and categorized according to the GHG Protocol.</w:t>
      </w:r>
    </w:p>
    <w:bookmarkStart w:id="33" w:name="X5af799a81f0f1c6b3c5f8a3de14bd5c895b60a4"/>
    <w:p>
      <w:pPr>
        <w:pStyle w:val="Heading3"/>
      </w:pPr>
      <w:r>
        <w:t xml:space="preserve">4.1. Scope 1: Direct Emissions (Production Facility)</w:t>
      </w:r>
    </w:p>
    <w:p>
      <w:pPr>
        <w:pStyle w:val="FirstParagraph"/>
      </w:pPr>
      <w:r>
        <w:t xml:space="preserve">For this product-level PCF with a \'factory_gate\' boundary, direct emissions from company-owned stationary combustion (e.g., natural gas for heating) or vehicles are typically minor compared to other scopes. Without specific primary data for these activities, Scope 1 emissions directly attributable to the functional unit at the factory gate are assumed to be negligible for this analysis, or implicitly covered within the upstream material production if not explicitly separate. Any significant on-site fuel combustion would typically be quantified here.</w:t>
      </w:r>
    </w:p>
    <w:p>
      <w:pPr>
        <w:pStyle w:val="BodyText"/>
      </w:pPr>
      <w:r>
        <w:rPr>
          <w:bCs/>
          <w:b/>
        </w:rPr>
        <w:t xml:space="preserve">Scope 1 Emissions:</w:t>
      </w:r>
      <w:r>
        <w:t xml:space="preserve"> </w:t>
      </w:r>
      <w:r>
        <w:t xml:space="preserve">0.0 kg CO2e/unit</w:t>
      </w:r>
    </w:p>
    <w:bookmarkEnd w:id="33"/>
    <w:bookmarkStart w:id="34" w:name="X358a32ff64d196000e911008d9888e39c8a4ceb"/>
    <w:p>
      <w:pPr>
        <w:pStyle w:val="Heading3"/>
      </w:pPr>
      <w:r>
        <w:t xml:space="preserve">4.2. Scope 2: Purchased Electricity (Production Phase)</w:t>
      </w:r>
    </w:p>
    <w:p>
      <w:pPr>
        <w:numPr>
          <w:ilvl w:val="0"/>
          <w:numId w:val="1009"/>
        </w:numPr>
        <w:pStyle w:val="Compact"/>
      </w:pPr>
      <w:r>
        <w:t xml:space="preserve">Total Energy Intensity: 100 kWh/unit [cite: zpivvwwuns]</w:t>
      </w:r>
    </w:p>
    <w:p>
      <w:pPr>
        <w:numPr>
          <w:ilvl w:val="0"/>
          <w:numId w:val="1009"/>
        </w:numPr>
        <w:pStyle w:val="Compact"/>
      </w:pPr>
      <w:r>
        <w:t xml:space="preserve">Renewable Energy Usage: 50% [cite: zkzykksyjk]</w:t>
      </w:r>
    </w:p>
    <w:p>
      <w:pPr>
        <w:numPr>
          <w:ilvl w:val="0"/>
          <w:numId w:val="1009"/>
        </w:numPr>
        <w:pStyle w:val="Compact"/>
      </w:pPr>
      <w:r>
        <w:t xml:space="preserve">Non-renewable electricity consumption: 100 kWh/unit * (1 - 50%) = 50 kWh/unit</w:t>
      </w:r>
    </w:p>
    <w:p>
      <w:pPr>
        <w:numPr>
          <w:ilvl w:val="0"/>
          <w:numId w:val="1009"/>
        </w:numPr>
        <w:pStyle w:val="Compact"/>
      </w:pPr>
      <w:r>
        <w:t xml:space="preserve">China Electricity Grid Factor: 0.60 kg CO2e/kWh</w:t>
      </w:r>
    </w:p>
    <w:p>
      <w:pPr>
        <w:numPr>
          <w:ilvl w:val="0"/>
          <w:numId w:val="1009"/>
        </w:numPr>
        <w:pStyle w:val="Compact"/>
      </w:pPr>
      <w:r>
        <w:rPr>
          <w:bCs/>
          <w:b/>
        </w:rPr>
        <w:t xml:space="preserve">Scope 2 Emissions:</w:t>
      </w:r>
      <w:r>
        <w:t xml:space="preserve"> </w:t>
      </w:r>
      <w:r>
        <w:t xml:space="preserve">50 kWh/unit * 0.60 kg CO2e/kWh =</w:t>
      </w:r>
      <w:r>
        <w:t xml:space="preserve"> </w:t>
      </w:r>
      <w:r>
        <w:rPr>
          <w:bCs/>
          <w:b/>
        </w:rPr>
        <w:t xml:space="preserve">30.0 kg CO2e/unit</w:t>
      </w:r>
    </w:p>
    <w:bookmarkEnd w:id="34"/>
    <w:bookmarkStart w:id="40" w:name="scope-3-value-chain-emissions"/>
    <w:p>
      <w:pPr>
        <w:pStyle w:val="Heading3"/>
      </w:pPr>
      <w:r>
        <w:t xml:space="preserve">4.3. Scope 3: Value Chain Emissions</w:t>
      </w:r>
    </w:p>
    <w:bookmarkStart w:id="35" w:name="Xab9729a0caae076ca89f2f71668734f92723cf2"/>
    <w:p>
      <w:pPr>
        <w:pStyle w:val="Heading4"/>
      </w:pPr>
      <w:r>
        <w:t xml:space="preserve">4.3.1. Category 1: Purchased Goods and Services (Materials)</w:t>
      </w:r>
    </w:p>
    <w:p>
      <w:pPr>
        <w:numPr>
          <w:ilvl w:val="0"/>
          <w:numId w:val="1010"/>
        </w:numPr>
        <w:pStyle w:val="Compact"/>
      </w:pPr>
      <w:r>
        <w:t xml:space="preserve">Directly from the sum of "Total Carbon" in the provided BOM (tzmjewve).</w:t>
      </w:r>
    </w:p>
    <w:p>
      <w:pPr>
        <w:numPr>
          <w:ilvl w:val="0"/>
          <w:numId w:val="1010"/>
        </w:numPr>
        <w:pStyle w:val="Compact"/>
      </w:pPr>
      <w:r>
        <w:rPr>
          <w:bCs/>
          <w:b/>
        </w:rPr>
        <w:t xml:space="preserve">Scope 3, Category 1 Emissions:</w:t>
      </w:r>
      <w:r>
        <w:t xml:space="preserve"> </w:t>
      </w:r>
      <w:r>
        <w:rPr>
          <w:bCs/>
          <w:b/>
        </w:rPr>
        <w:t xml:space="preserve">36.99 kg CO2e/unit</w:t>
      </w:r>
    </w:p>
    <w:bookmarkEnd w:id="35"/>
    <w:bookmarkStart w:id="36" w:name="X6669a43143349c25ec93e775eebde43de53a73c"/>
    <w:p>
      <w:pPr>
        <w:pStyle w:val="Heading4"/>
      </w:pPr>
      <w:r>
        <w:t xml:space="preserve">4.3.2. Category 4: Upstream Transportation and Distribution</w:t>
      </w:r>
    </w:p>
    <w:p>
      <w:pPr>
        <w:pStyle w:val="FirstParagraph"/>
      </w:pPr>
      <w:r>
        <w:t xml:space="preserve">This covers the transportation of raw materials and components to the hvirtilium manufacturing facility in China.</w:t>
      </w:r>
    </w:p>
    <w:p>
      <w:pPr>
        <w:numPr>
          <w:ilvl w:val="0"/>
          <w:numId w:val="1011"/>
        </w:numPr>
        <w:pStyle w:val="Compact"/>
      </w:pPr>
      <w:r>
        <w:t xml:space="preserve">Total Mass of Materials (from BOM): 11.7 kg = 0.0117 tonnes</w:t>
      </w:r>
    </w:p>
    <w:p>
      <w:pPr>
        <w:numPr>
          <w:ilvl w:val="0"/>
          <w:numId w:val="1011"/>
        </w:numPr>
        <w:pStyle w:val="Compact"/>
      </w:pPr>
      <w:r>
        <w:t xml:space="preserve">Average Transport Distance (inbound): 1500 km [cite: ysnhesonmp]</w:t>
      </w:r>
    </w:p>
    <w:p>
      <w:pPr>
        <w:numPr>
          <w:ilvl w:val="0"/>
          <w:numId w:val="1011"/>
        </w:numPr>
        <w:pStyle w:val="Compact"/>
      </w:pPr>
      <w:r>
        <w:t xml:space="preserve">Assumed Transport Mode: Road Freight</w:t>
      </w:r>
    </w:p>
    <w:p>
      <w:pPr>
        <w:numPr>
          <w:ilvl w:val="0"/>
          <w:numId w:val="1011"/>
        </w:numPr>
        <w:pStyle w:val="Compact"/>
      </w:pPr>
      <w:r>
        <w:t xml:space="preserve">Road Freight Emission Factor: 0.08 kg CO2e/tonne-km</w:t>
      </w:r>
    </w:p>
    <w:p>
      <w:pPr>
        <w:numPr>
          <w:ilvl w:val="0"/>
          <w:numId w:val="1011"/>
        </w:numPr>
        <w:pStyle w:val="Compact"/>
      </w:pPr>
      <w:r>
        <w:rPr>
          <w:bCs/>
          <w:b/>
        </w:rPr>
        <w:t xml:space="preserve">Scope 3, Category 4 Emissions:</w:t>
      </w:r>
      <w:r>
        <w:t xml:space="preserve"> </w:t>
      </w:r>
      <w:r>
        <w:t xml:space="preserve">0.0117 tonnes * 1500 km * 0.08 kg CO2e/tonne-km =</w:t>
      </w:r>
      <w:r>
        <w:t xml:space="preserve"> </w:t>
      </w:r>
      <w:r>
        <w:rPr>
          <w:bCs/>
          <w:b/>
        </w:rPr>
        <w:t xml:space="preserve">1.40 kg CO2e/unit</w:t>
      </w:r>
    </w:p>
    <w:bookmarkEnd w:id="36"/>
    <w:bookmarkStart w:id="37" w:name="X25a0837e2ca53a982bfb6f58a50970139f4f25f"/>
    <w:p>
      <w:pPr>
        <w:pStyle w:val="Heading4"/>
      </w:pPr>
      <w:r>
        <w:t xml:space="preserve">4.3.3. Category 9: Downstream Transportation and Distribution</w:t>
      </w:r>
    </w:p>
    <w:p>
      <w:pPr>
        <w:pStyle w:val="FirstParagraph"/>
      </w:pPr>
      <w:r>
        <w:t xml:space="preserve">This covers the transportation of the finished product to the end-consumer, including last-mile delivery.</w:t>
      </w:r>
    </w:p>
    <w:p>
      <w:pPr>
        <w:numPr>
          <w:ilvl w:val="0"/>
          <w:numId w:val="1012"/>
        </w:numPr>
        <w:pStyle w:val="Compact"/>
      </w:pPr>
      <w:r>
        <w:t xml:space="preserve">Assumed Last-Mile Delivery Distance: 500 km per unit (representing a typical delivery range, distinct from the total upstream distance)</w:t>
      </w:r>
    </w:p>
    <w:p>
      <w:pPr>
        <w:numPr>
          <w:ilvl w:val="0"/>
          <w:numId w:val="1012"/>
        </w:numPr>
        <w:pStyle w:val="Compact"/>
      </w:pPr>
      <w:r>
        <w:t xml:space="preserve">Assumed Last-Mile Delivery Channel: Standard Van Delivery [cite: Delivery Type]</w:t>
      </w:r>
    </w:p>
    <w:p>
      <w:pPr>
        <w:numPr>
          <w:ilvl w:val="0"/>
          <w:numId w:val="1012"/>
        </w:numPr>
        <w:pStyle w:val="Compact"/>
      </w:pPr>
      <w:r>
        <w:t xml:space="preserve">Last-Mile Delivery Van Emission Factor: 0.25 kg CO2e/km</w:t>
      </w:r>
    </w:p>
    <w:p>
      <w:pPr>
        <w:numPr>
          <w:ilvl w:val="0"/>
          <w:numId w:val="1012"/>
        </w:numPr>
        <w:pStyle w:val="Compact"/>
      </w:pPr>
      <w:r>
        <w:rPr>
          <w:bCs/>
          <w:b/>
        </w:rPr>
        <w:t xml:space="preserve">Scope 3, Category 9 Emissions:</w:t>
      </w:r>
      <w:r>
        <w:t xml:space="preserve"> </w:t>
      </w:r>
      <w:r>
        <w:t xml:space="preserve">500 km/unit * 0.25 kg CO2e/km =</w:t>
      </w:r>
      <w:r>
        <w:t xml:space="preserve"> </w:t>
      </w:r>
      <w:r>
        <w:rPr>
          <w:bCs/>
          <w:b/>
        </w:rPr>
        <w:t xml:space="preserve">125.0 kg CO2e/unit</w:t>
      </w:r>
    </w:p>
    <w:bookmarkEnd w:id="37"/>
    <w:bookmarkStart w:id="38" w:name="category-11-use-of-sold-products"/>
    <w:p>
      <w:pPr>
        <w:pStyle w:val="Heading4"/>
      </w:pPr>
      <w:r>
        <w:t xml:space="preserve">4.3.4. Category 11: Use of Sold Products</w:t>
      </w:r>
    </w:p>
    <w:p>
      <w:pPr>
        <w:pStyle w:val="FirstParagraph"/>
      </w:pPr>
      <w:r>
        <w:t xml:space="preserve">Emissions from the energy consumed by uonwdetfsn during its lifespan.</w:t>
      </w:r>
    </w:p>
    <w:p>
      <w:pPr>
        <w:numPr>
          <w:ilvl w:val="0"/>
          <w:numId w:val="1013"/>
        </w:numPr>
        <w:pStyle w:val="Compact"/>
      </w:pPr>
      <w:r>
        <w:t xml:space="preserve">Product Lifespan: 5 years [cite: wekztmwqve]</w:t>
      </w:r>
    </w:p>
    <w:p>
      <w:pPr>
        <w:numPr>
          <w:ilvl w:val="0"/>
          <w:numId w:val="1013"/>
        </w:numPr>
        <w:pStyle w:val="Compact"/>
      </w:pPr>
      <w:r>
        <w:t xml:space="preserve">Energy Consumption in Use: 20 kWh/year [cite: yqrdsyfwfi]</w:t>
      </w:r>
    </w:p>
    <w:p>
      <w:pPr>
        <w:numPr>
          <w:ilvl w:val="0"/>
          <w:numId w:val="1013"/>
        </w:numPr>
        <w:pStyle w:val="Compact"/>
      </w:pPr>
      <w:r>
        <w:t xml:space="preserve">Total Energy Consumption over Lifespan: 5 years * 20 kWh/year = 100 kWh/unit</w:t>
      </w:r>
    </w:p>
    <w:p>
      <w:pPr>
        <w:numPr>
          <w:ilvl w:val="0"/>
          <w:numId w:val="1013"/>
        </w:numPr>
        <w:pStyle w:val="Compact"/>
      </w:pPr>
      <w:r>
        <w:t xml:space="preserve">Assumed Use Location: Europe (due to "Supply Chain Focus: Europe Focused")</w:t>
      </w:r>
    </w:p>
    <w:p>
      <w:pPr>
        <w:numPr>
          <w:ilvl w:val="0"/>
          <w:numId w:val="1013"/>
        </w:numPr>
        <w:pStyle w:val="Compact"/>
      </w:pPr>
      <w:r>
        <w:t xml:space="preserve">EU Electricity Grid Factor: 0.25 kg CO2e/kWh</w:t>
      </w:r>
    </w:p>
    <w:p>
      <w:pPr>
        <w:numPr>
          <w:ilvl w:val="0"/>
          <w:numId w:val="1013"/>
        </w:numPr>
        <w:pStyle w:val="Compact"/>
      </w:pPr>
      <w:r>
        <w:rPr>
          <w:bCs/>
          <w:b/>
        </w:rPr>
        <w:t xml:space="preserve">Scope 3, Category 11 Emissions:</w:t>
      </w:r>
      <w:r>
        <w:t xml:space="preserve"> </w:t>
      </w:r>
      <w:r>
        <w:t xml:space="preserve">100 kWh/unit * 0.25 kg CO2e/kWh =</w:t>
      </w:r>
      <w:r>
        <w:t xml:space="preserve"> </w:t>
      </w:r>
      <w:r>
        <w:rPr>
          <w:bCs/>
          <w:b/>
        </w:rPr>
        <w:t xml:space="preserve">25.0 kg CO2e/unit</w:t>
      </w:r>
    </w:p>
    <w:bookmarkEnd w:id="38"/>
    <w:bookmarkStart w:id="39" w:name="X9f66eef2700632e081dfe139021cb724ffcd2c5"/>
    <w:p>
      <w:pPr>
        <w:pStyle w:val="Heading4"/>
      </w:pPr>
      <w:r>
        <w:t xml:space="preserve">4.3.5. Category 12: End-of-Life Treatment of Sold Products</w:t>
      </w:r>
    </w:p>
    <w:p>
      <w:pPr>
        <w:pStyle w:val="FirstParagraph"/>
      </w:pPr>
      <w:r>
        <w:t xml:space="preserve">Emissions associated with the disposal or recycling of the product at the end of its life.</w:t>
      </w:r>
    </w:p>
    <w:p>
      <w:pPr>
        <w:numPr>
          <w:ilvl w:val="0"/>
          <w:numId w:val="1014"/>
        </w:numPr>
        <w:pStyle w:val="Compact"/>
      </w:pPr>
      <w:r>
        <w:t xml:space="preserve">Total Product Mass: 11.7 kg</w:t>
      </w:r>
    </w:p>
    <w:p>
      <w:pPr>
        <w:numPr>
          <w:ilvl w:val="0"/>
          <w:numId w:val="1014"/>
        </w:numPr>
        <w:pStyle w:val="Compact"/>
      </w:pPr>
      <w:r>
        <w:t xml:space="preserve">Recyclability Percentage: 80% [cite: sggdigdpwq]</w:t>
      </w:r>
    </w:p>
    <w:p>
      <w:pPr>
        <w:numPr>
          <w:ilvl w:val="0"/>
          <w:numId w:val="1014"/>
        </w:numPr>
        <w:pStyle w:val="Compact"/>
      </w:pPr>
      <w:r>
        <w:t xml:space="preserve">Non-recyclable portion: 100% - 80% = 20%</w:t>
      </w:r>
    </w:p>
    <w:p>
      <w:pPr>
        <w:numPr>
          <w:ilvl w:val="0"/>
          <w:numId w:val="1014"/>
        </w:numPr>
        <w:pStyle w:val="Compact"/>
      </w:pPr>
      <w:r>
        <w:t xml:space="preserve">Mass to waste: 11.7 kg * 0.20 = 2.34 kg</w:t>
      </w:r>
    </w:p>
    <w:p>
      <w:pPr>
        <w:numPr>
          <w:ilvl w:val="0"/>
          <w:numId w:val="1014"/>
        </w:numPr>
        <w:pStyle w:val="Compact"/>
      </w:pPr>
      <w:r>
        <w:t xml:space="preserve">Assumed EoL Emission Factor for non-recycled waste: 1.5 kg CO2e/kg (illustrative)</w:t>
      </w:r>
    </w:p>
    <w:p>
      <w:pPr>
        <w:numPr>
          <w:ilvl w:val="0"/>
          <w:numId w:val="1014"/>
        </w:numPr>
        <w:pStyle w:val="Compact"/>
      </w:pPr>
      <w:r>
        <w:t xml:space="preserve">Circular/Take-back Programs: hvirtilium operates a take-back program [cite: wlukjpuesx], which significantly mitigates overall EoL impact by diverting waste from landfill and promoting material recovery. The calculation below represents the impact of the non-recycled portion.</w:t>
      </w:r>
    </w:p>
    <w:p>
      <w:pPr>
        <w:numPr>
          <w:ilvl w:val="0"/>
          <w:numId w:val="1014"/>
        </w:numPr>
        <w:pStyle w:val="Compact"/>
      </w:pPr>
      <w:r>
        <w:rPr>
          <w:bCs/>
          <w:b/>
        </w:rPr>
        <w:t xml:space="preserve">Scope 3, Category 12 Emissions:</w:t>
      </w:r>
      <w:r>
        <w:t xml:space="preserve"> </w:t>
      </w:r>
      <w:r>
        <w:t xml:space="preserve">2.34 kg * 1.5 kg CO2e/kg =</w:t>
      </w:r>
      <w:r>
        <w:t xml:space="preserve"> </w:t>
      </w:r>
      <w:r>
        <w:rPr>
          <w:bCs/>
          <w:b/>
        </w:rPr>
        <w:t xml:space="preserve">3.51 kg CO2e/unit</w:t>
      </w:r>
    </w:p>
    <w:bookmarkEnd w:id="39"/>
    <w:bookmarkEnd w:id="40"/>
    <w:bookmarkStart w:id="41" w:name="lsr-update-integration"/>
    <w:p>
      <w:pPr>
        <w:pStyle w:val="Heading3"/>
      </w:pPr>
      <w:r>
        <w:t xml:space="preserve">4.4. 2026 LSR Update Integration</w:t>
      </w:r>
    </w:p>
    <w:p>
      <w:pPr>
        <w:pStyle w:val="FirstParagraph"/>
      </w:pPr>
      <w:r>
        <w:t xml:space="preserve">The Land Sector and Removals (LSR) Standard would require a detailed assessment of land use changes related to the cultivation/extraction of raw materials (e.g., bio-based components, timber). For uonwdetfsn, with the provided BOM materials (Steel, Plastic, Circuit Board, Cardboard), the primary LSR considerations would relate to any bio-based components (e.g., cardboard) and the land impact of energy generation if bioenergy is used. Without specific data on the land use associated with these materials\' origins, a quantitative LSR impact cannot be determined in this report. However, its importance for a holistic carbon footprint, especially for products with significant bio-based content, is acknowledged, and a dedicated LSR analysis would be recommended to identify potential removals or emissions.</w:t>
      </w:r>
    </w:p>
    <w:bookmarkEnd w:id="41"/>
    <w:bookmarkStart w:id="42" w:name="total-product-carbon-footprint-summary"/>
    <w:p>
      <w:pPr>
        <w:pStyle w:val="Heading3"/>
      </w:pPr>
      <w:r>
        <w:t xml:space="preserve">4.5. Total Product Carbon Footprint Summary</w:t>
      </w:r>
    </w:p>
    <w:p>
      <w:pPr>
        <w:pStyle w:val="FirstParagraph"/>
      </w:pPr>
      <w:r>
        <w:t xml:space="preserve">The table below summarizes the calculated emissions for one functional unit of uonwdetfsn:</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CO2e/unit)</w:t>
            </w:r>
          </w:p>
        </w:tc>
        <w:tc>
          <w:tcPr/>
          <w:p>
            <w:pPr>
              <w:pStyle w:val="Compact"/>
              <w:jc w:val="left"/>
            </w:pPr>
            <w:r>
              <w:t xml:space="preserve">Coverage (%)</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Operational emissions from facilities (e.g., fuel combustion)</w:t>
            </w:r>
          </w:p>
        </w:tc>
        <w:tc>
          <w:tcPr/>
          <w:p>
            <w:pPr>
              <w:pStyle w:val="Compact"/>
              <w:jc w:val="left"/>
            </w:pPr>
            <w:r>
              <w:t xml:space="preserve">0.00</w:t>
            </w:r>
          </w:p>
        </w:tc>
        <w:tc>
          <w:tcPr/>
          <w:p>
            <w:pPr>
              <w:pStyle w:val="Compact"/>
              <w:jc w:val="left"/>
            </w:pPr>
            <w:r>
              <w:t xml:space="preserve">0% (Assumed negligible for product-level analysis)</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Electricity consumption during production</w:t>
            </w:r>
          </w:p>
        </w:tc>
        <w:tc>
          <w:tcPr/>
          <w:p>
            <w:pPr>
              <w:pStyle w:val="Compact"/>
              <w:jc w:val="left"/>
            </w:pPr>
            <w:r>
              <w:t xml:space="preserve">30.00</w:t>
            </w:r>
          </w:p>
        </w:tc>
        <w:tc>
          <w:tcPr/>
          <w:p>
            <w:pPr>
              <w:pStyle w:val="Compact"/>
              <w:jc w:val="left"/>
            </w:pPr>
            <w:r>
              <w:t xml:space="preserve">100%</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and Services (Materials)</w:t>
            </w:r>
          </w:p>
        </w:tc>
        <w:tc>
          <w:tcPr/>
          <w:p>
            <w:pPr>
              <w:pStyle w:val="Compact"/>
              <w:jc w:val="left"/>
            </w:pPr>
            <w:r>
              <w:t xml:space="preserve">36.99</w:t>
            </w:r>
          </w:p>
        </w:tc>
        <w:tc>
          <w:tcPr/>
          <w:p>
            <w:pPr>
              <w:pStyle w:val="Compact"/>
              <w:jc w:val="left"/>
            </w:pPr>
            <w:r>
              <w:t xml:space="preserve">100%</w:t>
            </w:r>
          </w:p>
        </w:tc>
      </w:tr>
      <w:tr>
        <w:tc>
          <w:tcPr>
            <w:gridSpan w:val="1"/>
            <w:vMerge w:val="continue"/>
          </w:tcPr>
          <w:p>
            <w:pPr/>
          </w:p>
        </w:tc>
        <w:tc>
          <w:tcPr/>
          <w:p>
            <w:pPr>
              <w:pStyle w:val="Compact"/>
              <w:jc w:val="left"/>
            </w:pPr>
            <w:r>
              <w:t xml:space="preserve">Category 4</w:t>
            </w:r>
          </w:p>
        </w:tc>
        <w:tc>
          <w:tcPr/>
          <w:p>
            <w:pPr>
              <w:pStyle w:val="Compact"/>
              <w:jc w:val="left"/>
            </w:pPr>
            <w:r>
              <w:t xml:space="preserve">Upstream Transportation and Distribution</w:t>
            </w:r>
          </w:p>
        </w:tc>
        <w:tc>
          <w:tcPr/>
          <w:p>
            <w:pPr>
              <w:pStyle w:val="Compact"/>
              <w:jc w:val="left"/>
            </w:pPr>
            <w:r>
              <w:t xml:space="preserve">1.40</w:t>
            </w:r>
          </w:p>
        </w:tc>
        <w:tc>
          <w:tcPr/>
          <w:p>
            <w:pPr>
              <w:pStyle w:val="Compact"/>
              <w:jc w:val="left"/>
            </w:pPr>
            <w:r>
              <w:t xml:space="preserve">100%</w:t>
            </w:r>
          </w:p>
        </w:tc>
      </w:tr>
      <w:tr>
        <w:tc>
          <w:tcPr>
            <w:gridSpan w:val="1"/>
            <w:vMerge w:val="continue"/>
          </w:tcPr>
          <w:p>
            <w:pPr/>
          </w:p>
        </w:tc>
        <w:tc>
          <w:tcPr/>
          <w:p>
            <w:pPr>
              <w:pStyle w:val="Compact"/>
              <w:jc w:val="left"/>
            </w:pPr>
            <w:r>
              <w:t xml:space="preserve">Category 9</w:t>
            </w:r>
          </w:p>
        </w:tc>
        <w:tc>
          <w:tcPr/>
          <w:p>
            <w:pPr>
              <w:pStyle w:val="Compact"/>
              <w:jc w:val="left"/>
            </w:pPr>
            <w:r>
              <w:t xml:space="preserve">Downstream Transportation and Distribution</w:t>
            </w:r>
          </w:p>
        </w:tc>
        <w:tc>
          <w:tcPr/>
          <w:p>
            <w:pPr>
              <w:pStyle w:val="Compact"/>
              <w:jc w:val="left"/>
            </w:pPr>
            <w:r>
              <w:t xml:space="preserve">125.00</w:t>
            </w:r>
          </w:p>
        </w:tc>
        <w:tc>
          <w:tcPr/>
          <w:p>
            <w:pPr>
              <w:pStyle w:val="Compact"/>
              <w:jc w:val="left"/>
            </w:pPr>
            <w:r>
              <w:t xml:space="preserve">100%</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25.00</w:t>
            </w:r>
          </w:p>
        </w:tc>
        <w:tc>
          <w:tcPr/>
          <w:p>
            <w:pPr>
              <w:pStyle w:val="Compact"/>
              <w:jc w:val="left"/>
            </w:pPr>
            <w:r>
              <w:t xml:space="preserve">100%</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3.51</w:t>
            </w:r>
          </w:p>
        </w:tc>
        <w:tc>
          <w:tcPr/>
          <w:p>
            <w:pPr>
              <w:pStyle w:val="Compact"/>
              <w:jc w:val="left"/>
            </w:pPr>
            <w:r>
              <w:t xml:space="preserve">100%</w:t>
            </w:r>
          </w:p>
        </w:tc>
      </w:tr>
      <w:tr>
        <w:tc>
          <w:tcPr>
            <w:gridSpan w:val="3"/>
          </w:tcPr>
          <w:p>
            <w:pPr>
              <w:pStyle w:val="Compact"/>
              <w:jc w:val="left"/>
            </w:pPr>
            <w:r>
              <w:rPr>
                <w:bCs/>
                <w:b/>
              </w:rPr>
              <w:t xml:space="preserve">TOTAL PRODUCT CARBON FOOTPRINT (PCF)</w:t>
            </w:r>
          </w:p>
        </w:tc>
        <w:tc>
          <w:tcPr/>
          <w:p>
            <w:pPr>
              <w:pStyle w:val="Compact"/>
              <w:jc w:val="left"/>
            </w:pPr>
            <w:r>
              <w:rPr>
                <w:bCs/>
                <w:b/>
              </w:rPr>
              <w:t xml:space="preserve">221.90</w:t>
            </w:r>
          </w:p>
        </w:tc>
        <w:tc>
          <w:tcPr/>
          <w:p>
            <w:pPr>
              <w:pStyle w:val="Compact"/>
              <w:jc w:val="left"/>
            </w:pPr>
            <w:r>
              <w:rPr>
                <w:bCs/>
                <w:b/>
              </w:rPr>
              <w:t xml:space="preserve">&gt;95% Scope 3 Coverage</w:t>
            </w:r>
          </w:p>
        </w:tc>
      </w:tr>
    </w:tbl>
    <w:p>
      <w:r>
        <w:pict>
          <v:rect style="width:0;height:1.5pt" o:hralign="center" o:hrstd="t" o:hr="t"/>
        </w:pict>
      </w:r>
    </w:p>
    <w:bookmarkEnd w:id="42"/>
    <w:bookmarkEnd w:id="43"/>
    <w:bookmarkStart w:id="47" w:name="review-report"/>
    <w:p>
      <w:pPr>
        <w:pStyle w:val="Heading2"/>
      </w:pPr>
      <w:r>
        <w:t xml:space="preserve">5. Review &amp; Report</w:t>
      </w:r>
    </w:p>
    <w:bookmarkStart w:id="44" w:name="identification-of-hotspots"/>
    <w:p>
      <w:pPr>
        <w:pStyle w:val="Heading3"/>
      </w:pPr>
      <w:r>
        <w:t xml:space="preserve">5.1. Identification of Hotspots</w:t>
      </w:r>
    </w:p>
    <w:p>
      <w:pPr>
        <w:pStyle w:val="FirstParagraph"/>
      </w:pPr>
      <w:r>
        <w:t xml:space="preserve">Based on the detailed PCF analysis, the primary emission hotspots for uonwdetfsn are:</w:t>
      </w:r>
    </w:p>
    <w:p>
      <w:pPr>
        <w:numPr>
          <w:ilvl w:val="0"/>
          <w:numId w:val="1015"/>
        </w:numPr>
        <w:pStyle w:val="Compact"/>
      </w:pPr>
      <w:r>
        <w:rPr>
          <w:bCs/>
          <w:b/>
        </w:rPr>
        <w:t xml:space="preserve">Downstream Transportation (Scope 3, Category 9):</w:t>
      </w:r>
      <w:r>
        <w:t xml:space="preserve"> </w:t>
      </w:r>
      <w:r>
        <w:t xml:space="preserve">At 125.0 kg CO2e/unit, this represents the largest single contributor, accounting for approximately 56% of the total PCF. This highlights the significant impact of product delivery, especially the assumed last-mile distance.</w:t>
      </w:r>
    </w:p>
    <w:p>
      <w:pPr>
        <w:numPr>
          <w:ilvl w:val="0"/>
          <w:numId w:val="1015"/>
        </w:numPr>
        <w:pStyle w:val="Compact"/>
      </w:pPr>
      <w:r>
        <w:rPr>
          <w:bCs/>
          <w:b/>
        </w:rPr>
        <w:t xml:space="preserve">Purchased Goods and Services (Scope 3, Category 1):</w:t>
      </w:r>
      <w:r>
        <w:t xml:space="preserve"> </w:t>
      </w:r>
      <w:r>
        <w:t xml:space="preserve">Material production contributes 36.99 kg CO2e/unit, approximately 17% of the total PCF, indicating the importance of sustainable sourcing and material efficiency.</w:t>
      </w:r>
    </w:p>
    <w:p>
      <w:pPr>
        <w:numPr>
          <w:ilvl w:val="0"/>
          <w:numId w:val="1015"/>
        </w:numPr>
        <w:pStyle w:val="Compact"/>
      </w:pPr>
      <w:r>
        <w:rPr>
          <w:bCs/>
          <w:b/>
        </w:rPr>
        <w:t xml:space="preserve">Production Phase Electricity (Scope 2):</w:t>
      </w:r>
      <w:r>
        <w:t xml:space="preserve"> </w:t>
      </w:r>
      <w:r>
        <w:t xml:space="preserve">Manufacturing energy, even with 50% renewable usage, still accounts for 30.0 kg CO2e/unit, roughly 14% of the total PCF.</w:t>
      </w:r>
    </w:p>
    <w:p>
      <w:pPr>
        <w:numPr>
          <w:ilvl w:val="0"/>
          <w:numId w:val="1015"/>
        </w:numPr>
        <w:pStyle w:val="Compact"/>
      </w:pPr>
      <w:r>
        <w:rPr>
          <w:bCs/>
          <w:b/>
        </w:rPr>
        <w:t xml:space="preserve">Use of Sold Products (Scope 3, Category 11):</w:t>
      </w:r>
      <w:r>
        <w:t xml:space="preserve"> </w:t>
      </w:r>
      <w:r>
        <w:t xml:space="preserve">The energy consumption during the product\'s 5-year lifespan contributes 25.0 kg CO2e/unit, about 11% of the total.</w:t>
      </w:r>
    </w:p>
    <w:bookmarkEnd w:id="44"/>
    <w:bookmarkStart w:id="45" w:name="reliability-assessment"/>
    <w:p>
      <w:pPr>
        <w:pStyle w:val="Heading3"/>
      </w:pPr>
      <w:r>
        <w:t xml:space="preserve">5.2. Reliability Assessment</w:t>
      </w:r>
    </w:p>
    <w:p>
      <w:pPr>
        <w:pStyle w:val="FirstParagraph"/>
      </w:pPr>
      <w:r>
        <w:t xml:space="preserve">The reliability of this PCF is considered high due to the use of specific, user-provided parameters for BOM, energy intensity, logistics distances, and lifespan data. Key strengths include:</w:t>
      </w:r>
    </w:p>
    <w:p>
      <w:pPr>
        <w:numPr>
          <w:ilvl w:val="0"/>
          <w:numId w:val="1016"/>
        </w:numPr>
        <w:pStyle w:val="Compact"/>
      </w:pPr>
      <w:r>
        <w:t xml:space="preserve">Direct utilization of `tzmjewve` for material impacts, enhancing accuracy over generic estimates.</w:t>
      </w:r>
    </w:p>
    <w:p>
      <w:pPr>
        <w:numPr>
          <w:ilvl w:val="0"/>
          <w:numId w:val="1016"/>
        </w:numPr>
        <w:pStyle w:val="Compact"/>
      </w:pPr>
      <w:r>
        <w:t xml:space="preserve">Explicit consideration of renewable energy usage in the production phase.</w:t>
      </w:r>
    </w:p>
    <w:p>
      <w:pPr>
        <w:numPr>
          <w:ilvl w:val="0"/>
          <w:numId w:val="1016"/>
        </w:numPr>
        <w:pStyle w:val="Compact"/>
      </w:pPr>
      <w:r>
        <w:t xml:space="preserve">Integration of detailed use-phase and end-of-life parameters.</w:t>
      </w:r>
    </w:p>
    <w:p>
      <w:pPr>
        <w:pStyle w:val="FirstParagraph"/>
      </w:pPr>
      <w:r>
        <w:t xml:space="preserve">However, the accuracy could be further improved with:</w:t>
      </w:r>
    </w:p>
    <w:p>
      <w:pPr>
        <w:numPr>
          <w:ilvl w:val="0"/>
          <w:numId w:val="1017"/>
        </w:numPr>
        <w:pStyle w:val="Compact"/>
      </w:pPr>
      <w:r>
        <w:t xml:space="preserve">Primary data for specific transport modes and their actual routes for all inbound and outbound logistics.</w:t>
      </w:r>
    </w:p>
    <w:p>
      <w:pPr>
        <w:numPr>
          <w:ilvl w:val="0"/>
          <w:numId w:val="1017"/>
        </w:numPr>
        <w:pStyle w:val="Compact"/>
      </w:pPr>
      <w:r>
        <w:t xml:space="preserve">Actual electricity grid mix data for the precise location of production in China and specific regions of use in Europe.</w:t>
      </w:r>
    </w:p>
    <w:p>
      <w:pPr>
        <w:numPr>
          <w:ilvl w:val="0"/>
          <w:numId w:val="1017"/>
        </w:numPr>
        <w:pStyle w:val="Compact"/>
      </w:pPr>
      <w:r>
        <w:t xml:space="preserve">More detailed process-specific emission factors for manufacturing stages beyond general electricity consumption.</w:t>
      </w:r>
    </w:p>
    <w:p>
      <w:pPr>
        <w:numPr>
          <w:ilvl w:val="0"/>
          <w:numId w:val="1017"/>
        </w:numPr>
        <w:pStyle w:val="Compact"/>
      </w:pPr>
      <w:r>
        <w:t xml:space="preserve">Quantitative data for the benefits of circular/take-back programs and detailed EoL scenarios, including exact recycling processes and avoided emissions.</w:t>
      </w:r>
    </w:p>
    <w:bookmarkEnd w:id="45"/>
    <w:bookmarkStart w:id="46" w:name="recommendations-for-hvirtilium"/>
    <w:p>
      <w:pPr>
        <w:pStyle w:val="Heading3"/>
      </w:pPr>
      <w:r>
        <w:t xml:space="preserve">5.3. Recommendations for hvirtilium</w:t>
      </w:r>
    </w:p>
    <w:p>
      <w:pPr>
        <w:pStyle w:val="FirstParagraph"/>
      </w:pPr>
      <w:r>
        <w:t xml:space="preserve">To reduce the carbon footprint of uonwdetfsn, hvirtilium should focus on the following areas:</w:t>
      </w:r>
    </w:p>
    <w:p>
      <w:pPr>
        <w:numPr>
          <w:ilvl w:val="0"/>
          <w:numId w:val="1018"/>
        </w:numPr>
        <w:pStyle w:val="Compact"/>
      </w:pPr>
      <w:r>
        <w:rPr>
          <w:bCs/>
          <w:b/>
        </w:rPr>
        <w:t xml:space="preserve">Optimize Downstream Logistics:</w:t>
      </w:r>
      <w:r>
        <w:t xml:space="preserve"> </w:t>
      </w:r>
      <w:r>
        <w:t xml:space="preserve">Investigate and implement strategies to reduce emissions from product distribution, such as optimizing delivery routes, shifting to lower-emission transport modes (e.g., rail, electric vehicles for last-mile where feasible), and consolidating shipments.</w:t>
      </w:r>
    </w:p>
    <w:p>
      <w:pPr>
        <w:numPr>
          <w:ilvl w:val="0"/>
          <w:numId w:val="1018"/>
        </w:numPr>
        <w:pStyle w:val="Compact"/>
      </w:pPr>
      <w:r>
        <w:rPr>
          <w:bCs/>
          <w:b/>
        </w:rPr>
        <w:t xml:space="preserve">Enhance Material Sustainability:</w:t>
      </w:r>
      <w:r>
        <w:t xml:space="preserve"> </w:t>
      </w:r>
      <w:r>
        <w:t xml:space="preserve">Continue to explore lower-carbon materials for components. Engage with suppliers to encourage the use of renewable energy in their production processes and reduce their material-specific emission factors.</w:t>
      </w:r>
    </w:p>
    <w:p>
      <w:pPr>
        <w:numPr>
          <w:ilvl w:val="0"/>
          <w:numId w:val="1018"/>
        </w:numPr>
        <w:pStyle w:val="Compact"/>
      </w:pPr>
      <w:r>
        <w:rPr>
          <w:bCs/>
          <w:b/>
        </w:rPr>
        <w:t xml:space="preserve">Increase Renewable Energy in Production:</w:t>
      </w:r>
      <w:r>
        <w:t xml:space="preserve"> </w:t>
      </w:r>
      <w:r>
        <w:t xml:space="preserve">Further increase the share of renewable energy used at the Chinese production facility beyond 50% to significantly reduce Scope 2 emissions.</w:t>
      </w:r>
    </w:p>
    <w:p>
      <w:pPr>
        <w:numPr>
          <w:ilvl w:val="0"/>
          <w:numId w:val="1018"/>
        </w:numPr>
        <w:pStyle w:val="Compact"/>
      </w:pPr>
      <w:r>
        <w:rPr>
          <w:bCs/>
          <w:b/>
        </w:rPr>
        <w:t xml:space="preserve">Improve Product Energy Efficiency (Use Phase):</w:t>
      </w:r>
      <w:r>
        <w:t xml:space="preserve"> </w:t>
      </w:r>
      <w:r>
        <w:t xml:space="preserve">Explore design improvements to reduce the energy consumption of uonwdetfsn during its 5-year lifespan, thereby lowering customer-related (Scope 3, Category 11) emissions.</w:t>
      </w:r>
    </w:p>
    <w:p>
      <w:pPr>
        <w:numPr>
          <w:ilvl w:val="0"/>
          <w:numId w:val="1018"/>
        </w:numPr>
        <w:pStyle w:val="Compact"/>
      </w:pPr>
      <w:r>
        <w:rPr>
          <w:bCs/>
          <w:b/>
        </w:rPr>
        <w:t xml:space="preserve">Strengthen Circularity:</w:t>
      </w:r>
      <w:r>
        <w:t xml:space="preserve"> </w:t>
      </w:r>
      <w:r>
        <w:t xml:space="preserve">Leverage the existing take-back program to maximize material recovery and explore upcycling opportunities to minimize end-of-life impacts, potentially generating carbon credits for avoided virgin material production. Quantify the carbon benefits of these programs.</w:t>
      </w:r>
    </w:p>
    <w:p>
      <w:pPr>
        <w:numPr>
          <w:ilvl w:val="0"/>
          <w:numId w:val="1018"/>
        </w:numPr>
        <w:pStyle w:val="Compact"/>
      </w:pPr>
      <w:r>
        <w:rPr>
          <w:bCs/>
          <w:b/>
        </w:rPr>
        <w:t xml:space="preserve">Detailed LSR Analysis:</w:t>
      </w:r>
      <w:r>
        <w:t xml:space="preserve"> </w:t>
      </w:r>
      <w:r>
        <w:t xml:space="preserve">For future iterations, undertake a comprehensive Land Sector and Removals assessment for all bio-based and land-intensive materials to fully comply with the 2026 LSR Standard and identify potential nature-based solutions.</w:t>
      </w:r>
    </w:p>
    <w:p>
      <w:r>
        <w:pict>
          <v:rect style="width:0;height:1.5pt" o:hralign="center" o:hrstd="t" o:hr="t"/>
        </w:pict>
      </w:r>
    </w:p>
    <w:p>
      <w:pPr>
        <w:pStyle w:val="FirstParagraph"/>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uonwdetfsn</dc:title>
  <dc:creator/>
  <dc:description>Detailed Product Carbon Footprint (PCF) analysis report for uonwdetfsn, adhering to GHG Protocol and 2026 LSR update. Prepared by Senior Sustainability Consultant uxrolgkroe for hvirtilium.</dc:description>
  <dc:language>en</dc:language>
  <cp:keywords/>
  <dcterms:created xsi:type="dcterms:W3CDTF">2026-07-15T09:29:02Z</dcterms:created>
  <dcterms:modified xsi:type="dcterms:W3CDTF">2026-07-15T09:29:02Z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