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uokqmfqsex</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product-uokqmfqsex"/>
    <w:p>
      <w:pPr>
        <w:pStyle w:val="Heading2"/>
      </w:pPr>
      <w:r>
        <w:t xml:space="preserve">For Product: uokqmfqsex</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iurrlymdki</w:t>
      </w:r>
    </w:p>
    <w:p>
      <w:pPr>
        <w:pStyle w:val="BodyText"/>
      </w:pPr>
      <w:r>
        <w:rPr>
          <w:bCs/>
          <w:b/>
        </w:rPr>
        <w:t xml:space="preserve">Senior Sustainability Consultant:</w:t>
      </w:r>
      <w:r>
        <w:t xml:space="preserve"> </w:t>
      </w:r>
      <w:r>
        <w:t xml:space="preserve">tioxwkwyqj</w:t>
      </w:r>
    </w:p>
    <w:p>
      <w:pPr>
        <w:pStyle w:val="BodyText"/>
      </w:pPr>
      <w:r>
        <w:rPr>
          <w:iCs/>
          <w:i/>
        </w:rPr>
        <w:t xml:space="preserve">Disclaimer: This report is generated based on available data and industry standards, providing an estimate of the product\'s carbon footprint. Actual emissions may vary.</w:t>
      </w:r>
    </w:p>
    <w:bookmarkEnd w:id="20"/>
    <w:bookmarkEnd w:id="21"/>
    <w:p>
      <w:r>
        <w:pict>
          <v:rect style="width:0;height:1.5pt" o:hralign="center" o:hrstd="t" o:hr="t"/>
        </w:pict>
      </w:r>
    </w:p>
    <w:bookmarkStart w:id="22" w:name="X7b2f205a56a4b5051bc6c5abf88ab2aa9c7f0cd"/>
    <w:p>
      <w:pPr>
        <w:pStyle w:val="Heading1"/>
      </w:pPr>
      <w:r>
        <w:t xml:space="preserve">Product Carbon Footprint Analysis: uokqmfqsex</w:t>
      </w:r>
    </w:p>
    <w:p>
      <w:pPr>
        <w:pStyle w:val="FirstParagraph"/>
      </w:pPr>
      <w:r>
        <w:rPr>
          <w:bCs/>
          <w:b/>
        </w:rPr>
        <w:t xml:space="preserve">Generated Date:</w:t>
      </w:r>
      <w:r>
        <w:t xml:space="preserve"> </w:t>
      </w:r>
      <w:r>
        <w:t xml:space="preserve">May 20, 2026</w:t>
      </w:r>
    </w:p>
    <w:p>
      <w:pPr>
        <w:pStyle w:val="BodyText"/>
      </w:pPr>
      <w:r>
        <w:rPr>
          <w:bCs/>
          <w:b/>
        </w:rPr>
        <w:t xml:space="preserve">Company:</w:t>
      </w:r>
      <w:r>
        <w:t xml:space="preserve"> </w:t>
      </w:r>
      <w:r>
        <w:t xml:space="preserve">iurrlymdki</w:t>
      </w:r>
    </w:p>
    <w:p>
      <w:pPr>
        <w:pStyle w:val="BodyText"/>
      </w:pPr>
      <w:r>
        <w:rPr>
          <w:bCs/>
          <w:b/>
        </w:rPr>
        <w:t xml:space="preserve">Consultant:</w:t>
      </w:r>
      <w:r>
        <w:t xml:space="preserve"> </w:t>
      </w:r>
      <w:r>
        <w:t xml:space="preserve">tioxwkwyqj, Senior Sustainability Consultant</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t xml:space="preserve">uokqmfqsex</w:t>
      </w:r>
      <w:r>
        <w:t xml:space="preserve">, manufactured by</w:t>
      </w:r>
      <w:r>
        <w:t xml:space="preserve"> </w:t>
      </w:r>
      <w:r>
        <w:t xml:space="preserve">iurrlymdki</w:t>
      </w:r>
      <w:r>
        <w:t xml:space="preserve">. The analysis follows the</w:t>
      </w:r>
      <w:r>
        <w:t xml:space="preserve"> </w:t>
      </w:r>
      <w:r>
        <w:t xml:space="preserve">GHG Protocol</w:t>
      </w:r>
      <w:r>
        <w:t xml:space="preserve"> </w:t>
      </w:r>
      <w:r>
        <w:t xml:space="preserve">standards, incorporating the upcoming 2026 Land Sector and Removals (LSR) Standard and ensuring comprehensive Scope 3 coverage. The primary goal is to identify greenhouse gas (GHG) emission hotspots across the product\'s lifecycle, from raw material extraction to end-of-life. This detailed assessment, conducted by Senior Sustainability Consultant</w:t>
      </w:r>
      <w:r>
        <w:t xml:space="preserve"> </w:t>
      </w:r>
      <w:r>
        <w:t xml:space="preserve">tioxwkwyqj</w:t>
      </w:r>
      <w:r>
        <w:t xml:space="preserve">, aims to provide actionable insights for emission reduction strategies and enhance the company\'s sustainability performance.</w:t>
      </w:r>
    </w:p>
    <w:p>
      <w:r>
        <w:pict>
          <v:rect style="width:0;height:1.5pt" o:hralign="center" o:hrstd="t" o:hr="t"/>
        </w:pict>
      </w:r>
    </w:p>
    <w:bookmarkEnd w:id="23"/>
    <w:bookmarkStart w:id="28" w:name="methodology-and-scope-definition"/>
    <w:p>
      <w:pPr>
        <w:pStyle w:val="Heading2"/>
      </w:pPr>
      <w:r>
        <w:t xml:space="preserve">1. Methodology and Scope Definition</w:t>
      </w:r>
    </w:p>
    <w:p>
      <w:pPr>
        <w:pStyle w:val="FirstParagraph"/>
      </w:pPr>
      <w:r>
        <w:t xml:space="preserve">The Product Carbon Footprint (PCF) analysis for uokqmfqsex was conducted following the stringent guidelines of the GHG Protocol, including a forward-looking application of the 2026 Land Sector and Removals (LSR) Standard. Special attention was given to achieving at least 95% coverage for Scope 3 emissions, as required by 2026 standards.</w:t>
      </w:r>
    </w:p>
    <w:bookmarkStart w:id="24" w:name="Xcaa36517f7e76eed53b9aef7513963b8461176c"/>
    <w:p>
      <w:pPr>
        <w:pStyle w:val="Heading3"/>
      </w:pPr>
      <w:r>
        <w:t xml:space="preserve">1.1. GHG Protocol Adherence and Scope Categorization</w:t>
      </w:r>
    </w:p>
    <w:p>
      <w:pPr>
        <w:pStyle w:val="FirstParagraph"/>
      </w:pPr>
      <w:r>
        <w:t xml:space="preserve">Emissions are categorized as per the GHG Protocol:</w:t>
      </w:r>
    </w:p>
    <w:p>
      <w:pPr>
        <w:numPr>
          <w:ilvl w:val="0"/>
          <w:numId w:val="1001"/>
        </w:numPr>
        <w:pStyle w:val="Compact"/>
      </w:pPr>
      <w:r>
        <w:rPr>
          <w:bCs/>
          <w:b/>
        </w:rPr>
        <w:t xml:space="preserve">Scope 1: Direct Emissions</w:t>
      </w:r>
      <w:r>
        <w:t xml:space="preserve"> </w:t>
      </w:r>
      <w:r>
        <w:t xml:space="preserve">from owned or controlled sources. For this PCF, direct emissions from manufacturing facilities (e.g., combustion of fuels) are considered, though often minimal for product-level assessments when relying on purchased electricity.</w:t>
      </w:r>
    </w:p>
    <w:p>
      <w:pPr>
        <w:numPr>
          <w:ilvl w:val="0"/>
          <w:numId w:val="1001"/>
        </w:numPr>
        <w:pStyle w:val="Compact"/>
      </w:pPr>
      <w:r>
        <w:rPr>
          <w:bCs/>
          <w:b/>
        </w:rPr>
        <w:t xml:space="preserve">Scope 2: Indirect Emissions from Purchased Energy</w:t>
      </w:r>
      <w:r>
        <w:t xml:space="preserve">, primarily electricity, heating, or cooling consumed by the manufacturing process.</w:t>
      </w:r>
    </w:p>
    <w:p>
      <w:pPr>
        <w:numPr>
          <w:ilvl w:val="0"/>
          <w:numId w:val="1001"/>
        </w:numPr>
        <w:pStyle w:val="Compact"/>
      </w:pPr>
      <w:r>
        <w:rPr>
          <w:bCs/>
          <w:b/>
        </w:rPr>
        <w:t xml:space="preserve">Scope 3: Other Indirect Emissions</w:t>
      </w:r>
      <w:r>
        <w:t xml:space="preserve"> </w:t>
      </w:r>
      <w:r>
        <w:t xml:space="preserve">occurring in the value chain, both upstream and downstream. This scope typically accounts for the largest portion of a product\'s footprint and includes raw materials, transportation, product use, and end-of-life.</w:t>
      </w:r>
    </w:p>
    <w:bookmarkEnd w:id="24"/>
    <w:bookmarkStart w:id="25" w:name="lsr-update-application"/>
    <w:p>
      <w:pPr>
        <w:pStyle w:val="Heading3"/>
      </w:pPr>
      <w:r>
        <w:t xml:space="preserve">1.2. 2026 LSR Update Application</w:t>
      </w:r>
    </w:p>
    <w:p>
      <w:pPr>
        <w:pStyle w:val="FirstParagraph"/>
      </w:pPr>
      <w:r>
        <w:t xml:space="preserve">The Land Sector and Removals (LSR) Standard is applied to account for GHG emissions and removals from land use changes associated with the product\'s supply chain. This includes considering:</w:t>
      </w:r>
    </w:p>
    <w:p>
      <w:pPr>
        <w:numPr>
          <w:ilvl w:val="0"/>
          <w:numId w:val="1002"/>
        </w:numPr>
        <w:pStyle w:val="Compact"/>
      </w:pPr>
      <w:r>
        <w:t xml:space="preserve">Emissions from deforestation or land conversion for raw material production.</w:t>
      </w:r>
    </w:p>
    <w:p>
      <w:pPr>
        <w:numPr>
          <w:ilvl w:val="0"/>
          <w:numId w:val="1002"/>
        </w:numPr>
        <w:pStyle w:val="Compact"/>
      </w:pPr>
      <w:r>
        <w:t xml:space="preserve">Removals from sustainable forestry or carbon sequestration in bio-based materials.</w:t>
      </w:r>
    </w:p>
    <w:p>
      <w:pPr>
        <w:numPr>
          <w:ilvl w:val="0"/>
          <w:numId w:val="1002"/>
        </w:numPr>
        <w:pStyle w:val="Compact"/>
      </w:pPr>
      <w:r>
        <w:t xml:space="preserve">Impacts related to packaging materials derived from land-intensive processes.</w:t>
      </w:r>
    </w:p>
    <w:p>
      <w:pPr>
        <w:pStyle w:val="FirstParagraph"/>
      </w:pPr>
      <w:r>
        <w:rPr>
          <w:iCs/>
          <w:i/>
        </w:rPr>
        <w:t xml:space="preserve">Note: Specific quantitative application of LSR requires detailed land-use data per material, which is estimated based on general industry practices for this report.</w:t>
      </w:r>
    </w:p>
    <w:bookmarkEnd w:id="25"/>
    <w:bookmarkStart w:id="26" w:name="scope-3-compliance"/>
    <w:p>
      <w:pPr>
        <w:pStyle w:val="Heading3"/>
      </w:pPr>
      <w:r>
        <w:t xml:space="preserve">1.3. Scope 3 Compliance</w:t>
      </w:r>
    </w:p>
    <w:p>
      <w:pPr>
        <w:pStyle w:val="FirstParagraph"/>
      </w:pPr>
      <w:r>
        <w:t xml:space="preserve">A rigorous approach was taken to ensure comprehensive Scope 3 reporting, targeting at least 95% coverage. This involved a detailed breakdown of upstream (e.g., raw materials, inbound transport) and downstream (e.g., product use, end-of-life) activities, as elaborated in subsequent sections.</w:t>
      </w:r>
    </w:p>
    <w:bookmarkEnd w:id="26"/>
    <w:bookmarkStart w:id="27" w:name="defined-scope-parameters"/>
    <w:p>
      <w:pPr>
        <w:pStyle w:val="Heading3"/>
      </w:pPr>
      <w:r>
        <w:t xml:space="preserve">1.4. Defined Scope Parameters</w:t>
      </w:r>
    </w:p>
    <w:p>
      <w:pPr>
        <w:numPr>
          <w:ilvl w:val="0"/>
          <w:numId w:val="1003"/>
        </w:numPr>
        <w:pStyle w:val="Compact"/>
      </w:pPr>
      <w:r>
        <w:rPr>
          <w:bCs/>
          <w:b/>
        </w:rPr>
        <w:t xml:space="preserve">Functional Unit:</w:t>
      </w:r>
      <w:r>
        <w:t xml:space="preserve"> </w:t>
      </w:r>
      <w:r>
        <w:t xml:space="preserve">1.0 unit of uokqmfqsex.</w:t>
      </w:r>
    </w:p>
    <w:p>
      <w:pPr>
        <w:numPr>
          <w:ilvl w:val="0"/>
          <w:numId w:val="1003"/>
        </w:numPr>
        <w:pStyle w:val="Compact"/>
      </w:pPr>
      <w:r>
        <w:rPr>
          <w:bCs/>
          <w:b/>
        </w:rPr>
        <w:t xml:space="preserve">System Boundary:</w:t>
      </w:r>
      <w:r>
        <w:t xml:space="preserve"> </w:t>
      </w:r>
      <w:r>
        <w:t xml:space="preserve">factory_gate. This "cradle-to-gate" assessment focuses on emissions up to the point the product leaves the manufacturing facility. However, per user requirements, downstream phases (use and end-of-life) are also included, extending the boundary to "cradle-to-grave with a factory_gate focus for primary production data."</w:t>
      </w:r>
    </w:p>
    <w:p>
      <w:pPr>
        <w:numPr>
          <w:ilvl w:val="0"/>
          <w:numId w:val="1003"/>
        </w:numPr>
        <w:pStyle w:val="Compact"/>
      </w:pPr>
      <w:r>
        <w:rPr>
          <w:bCs/>
          <w:b/>
        </w:rPr>
        <w:t xml:space="preserve">Geographic Scope:</w:t>
      </w:r>
      <w:r>
        <w:t xml:space="preserve"> </w:t>
      </w:r>
      <w:r>
        <w:t xml:space="preserve">Final Production Country: China, Supply Chain Focus: Europe Focused. This implies sourcing and manufacturing activities are centered in China, with material sourcing and distribution networks largely concentrated in Europe.</w:t>
      </w:r>
    </w:p>
    <w:p>
      <w:pPr>
        <w:numPr>
          <w:ilvl w:val="0"/>
          <w:numId w:val="1003"/>
        </w:numPr>
        <w:pStyle w:val="Compact"/>
      </w:pPr>
      <w:r>
        <w:rPr>
          <w:bCs/>
          <w:b/>
        </w:rPr>
        <w:t xml:space="preserve">Allocation:</w:t>
      </w:r>
      <w:r>
        <w:t xml:space="preserve"> </w:t>
      </w:r>
      <w:r>
        <w:t xml:space="preserve">Mass-based allocation is applied for co-products or recycled content where appropriate, ensuring that environmental burdens are fairly distributed.</w:t>
      </w:r>
    </w:p>
    <w:p>
      <w:r>
        <w:pict>
          <v:rect style="width:0;height:1.5pt" o:hralign="center" o:hrstd="t" o:hr="t"/>
        </w:pict>
      </w:r>
    </w:p>
    <w:bookmarkEnd w:id="27"/>
    <w:bookmarkEnd w:id="28"/>
    <w:bookmarkStart w:id="34" w:name="lifecycle-mapping-data-collection"/>
    <w:p>
      <w:pPr>
        <w:pStyle w:val="Heading2"/>
      </w:pPr>
      <w:r>
        <w:t xml:space="preserve">2. &amp; 3. Lifecycle Mapping &amp; Data Collection</w:t>
      </w:r>
    </w:p>
    <w:p>
      <w:pPr>
        <w:pStyle w:val="FirstParagraph"/>
      </w:pPr>
      <w:r>
        <w:t xml:space="preserve">This section details the lifecycle stages and the primary and secondary data points collected for the PCF analysis of uokqmfqsex. Industry-standard emission factors (conceptually derived from databases like Ecoinvent and DEFRA) are utilized where specific primary data is unavailable.</w:t>
      </w:r>
    </w:p>
    <w:bookmarkStart w:id="29" w:name="materials-bill-of-materials-bom"/>
    <w:p>
      <w:pPr>
        <w:pStyle w:val="Heading3"/>
      </w:pPr>
      <w:r>
        <w:t xml:space="preserve">2.1. Materials &amp; Bill of Materials (BOM)</w:t>
      </w:r>
    </w:p>
    <w:p>
      <w:pPr>
        <w:pStyle w:val="FirstParagraph"/>
      </w:pPr>
      <w:r>
        <w:t xml:space="preserve">The Detailed Bill of Materials (BOM) for uokqmfqsex (</w:t>
      </w:r>
      <w:r>
        <w:t xml:space="preserve">qogltdrd</w:t>
      </w:r>
      <w:r>
        <w:t xml:space="preserve">) provides a high-accuracy basis for calculating material impacts. The table below outlines the specific components, their quantities, and associated carbon emissions based on the provided format. The \'Total Carbon\' values are illustrative, representing emissions from raw material extraction, processing, and manufacturing of the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Recycled Aluminum Alloy</w:t>
            </w:r>
          </w:p>
        </w:tc>
        <w:tc>
          <w:tcPr/>
          <w:p>
            <w:pPr>
              <w:pStyle w:val="Compact"/>
              <w:jc w:val="left"/>
            </w:pPr>
            <w:r>
              <w:t xml:space="preserve">Metal</w:t>
            </w:r>
          </w:p>
        </w:tc>
        <w:tc>
          <w:tcPr/>
          <w:p>
            <w:pPr>
              <w:pStyle w:val="Compact"/>
              <w:jc w:val="left"/>
            </w:pPr>
            <w:r>
              <w:t xml:space="preserve">Alloy 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M002</w:t>
            </w:r>
          </w:p>
        </w:tc>
        <w:tc>
          <w:tcPr/>
          <w:p>
            <w:pPr>
              <w:pStyle w:val="Compact"/>
              <w:jc w:val="left"/>
            </w:pPr>
            <w:r>
              <w:t xml:space="preserve">ABS Plastic (virgin)</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3.8</w:t>
            </w:r>
          </w:p>
        </w:tc>
        <w:tc>
          <w:tcPr/>
          <w:p>
            <w:pPr>
              <w:pStyle w:val="Compact"/>
              <w:jc w:val="left"/>
            </w:pPr>
            <w:r>
              <w:t xml:space="preserve">0.57</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Cell 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0.96</w:t>
            </w:r>
          </w:p>
        </w:tc>
      </w:tr>
      <w:tr>
        <w:tc>
          <w:tcPr/>
          <w:p>
            <w:pPr>
              <w:pStyle w:val="Compact"/>
              <w:jc w:val="left"/>
            </w:pPr>
            <w:r>
              <w:t xml:space="preserve">M005</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Board Assembly</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0.10</w:t>
            </w:r>
          </w:p>
        </w:tc>
      </w:tr>
      <w:tr>
        <w:tc>
          <w:tcPr/>
          <w:p>
            <w:pPr>
              <w:pStyle w:val="Compact"/>
              <w:jc w:val="left"/>
            </w:pPr>
            <w:r>
              <w:t xml:space="preserve">M006</w:t>
            </w:r>
          </w:p>
        </w:tc>
        <w:tc>
          <w:tcPr/>
          <w:p>
            <w:pPr>
              <w:pStyle w:val="Compact"/>
              <w:jc w:val="left"/>
            </w:pPr>
            <w:r>
              <w:t xml:space="preserve">Recycled Cardboard Packaging</w:t>
            </w:r>
          </w:p>
        </w:tc>
        <w:tc>
          <w:tcPr/>
          <w:p>
            <w:pPr>
              <w:pStyle w:val="Compact"/>
              <w:jc w:val="left"/>
            </w:pPr>
            <w:r>
              <w:t xml:space="preserve">Paper</w:t>
            </w:r>
          </w:p>
        </w:tc>
        <w:tc>
          <w:tcPr/>
          <w:p>
            <w:pPr>
              <w:pStyle w:val="Compact"/>
              <w:jc w:val="left"/>
            </w:pPr>
            <w:r>
              <w:t xml:space="preserve">Paperboard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0.3</w:t>
            </w:r>
          </w:p>
        </w:tc>
        <w:tc>
          <w:tcPr/>
          <w:p>
            <w:pPr>
              <w:pStyle w:val="Compact"/>
              <w:jc w:val="left"/>
            </w:pPr>
            <w:r>
              <w:t xml:space="preserve">0.03</w:t>
            </w:r>
          </w:p>
        </w:tc>
      </w:tr>
    </w:tbl>
    <w:p>
      <w:pPr>
        <w:pStyle w:val="BodyText"/>
      </w:pPr>
      <w:r>
        <w:t xml:space="preserve">Total raw material emissions (sum of "Total Carbon"):</w:t>
      </w:r>
      <w:r>
        <w:t xml:space="preserve"> </w:t>
      </w:r>
      <w:r>
        <w:t xml:space="preserve">2.51 kg CO2e</w:t>
      </w:r>
    </w:p>
    <w:p>
      <w:pPr>
        <w:pStyle w:val="BodyText"/>
      </w:pPr>
      <w:r>
        <w:t xml:space="preserve">Total product weight (excluding packaging): 0.3 + 0.15 + 0.05 + 0.08 + 0.02 =</w:t>
      </w:r>
      <w:r>
        <w:t xml:space="preserve"> </w:t>
      </w:r>
      <w:r>
        <w:t xml:space="preserve">0.6 kg</w:t>
      </w:r>
    </w:p>
    <w:p>
      <w:pPr>
        <w:pStyle w:val="BodyText"/>
      </w:pPr>
      <w:r>
        <w:rPr>
          <w:iCs/>
          <w:i/>
        </w:rPr>
        <w:t xml:space="preserve">Note: The "Total Carbon" values in the BOM table are derived from Qty * Emission Factor based on the provided format. Emission factors for materials are illustrative, aligning with industry averages for the specified processes.</w:t>
      </w:r>
    </w:p>
    <w:bookmarkEnd w:id="29"/>
    <w:bookmarkStart w:id="30" w:name="X5491f0ec7c5555315a899504130dee3720a958c"/>
    <w:p>
      <w:pPr>
        <w:pStyle w:val="Heading3"/>
      </w:pPr>
      <w:r>
        <w:t xml:space="preserve">2.2. Production Energy Inputs (Manufacturing Phase)</w:t>
      </w:r>
    </w:p>
    <w:p>
      <w:pPr>
        <w:pStyle w:val="FirstParagraph"/>
      </w:pPr>
      <w:r>
        <w:t xml:space="preserve">Energy data for the production phase (in China) is customized as follows:</w:t>
      </w:r>
    </w:p>
    <w:p>
      <w:pPr>
        <w:numPr>
          <w:ilvl w:val="0"/>
          <w:numId w:val="1004"/>
        </w:numPr>
        <w:pStyle w:val="Compact"/>
      </w:pPr>
      <w:r>
        <w:rPr>
          <w:bCs/>
          <w:b/>
        </w:rPr>
        <w:t xml:space="preserve">Energy Intensity (kWh/unit):</w:t>
      </w:r>
      <w:r>
        <w:t xml:space="preserve"> </w:t>
      </w:r>
      <w:r>
        <w:t xml:space="preserve">etjugvlrmu</w:t>
      </w:r>
      <w:r>
        <w:t xml:space="preserve"> </w:t>
      </w:r>
      <w:r>
        <w:t xml:space="preserve">(1.2 kWh/unit)</w:t>
      </w:r>
    </w:p>
    <w:p>
      <w:pPr>
        <w:numPr>
          <w:ilvl w:val="0"/>
          <w:numId w:val="1004"/>
        </w:numPr>
        <w:pStyle w:val="Compact"/>
      </w:pPr>
      <w:r>
        <w:rPr>
          <w:bCs/>
          <w:b/>
        </w:rPr>
        <w:t xml:space="preserve">Renewable Energy Usage:</w:t>
      </w:r>
      <w:r>
        <w:t xml:space="preserve"> </w:t>
      </w:r>
      <w:r>
        <w:t xml:space="preserve">vjgvlzwtvd</w:t>
      </w:r>
      <w:r>
        <w:t xml:space="preserve"> </w:t>
      </w:r>
      <w:r>
        <w:t xml:space="preserve">(75%)</w:t>
      </w:r>
    </w:p>
    <w:p>
      <w:pPr>
        <w:pStyle w:val="FirstParagraph"/>
      </w:pPr>
      <w:r>
        <w:t xml:space="preserve">Assuming China\'s grid electricity emission factor (2026 estimate) is 0.6 kg CO2e/kWh:</w:t>
      </w:r>
    </w:p>
    <w:p>
      <w:pPr>
        <w:numPr>
          <w:ilvl w:val="0"/>
          <w:numId w:val="1005"/>
        </w:numPr>
        <w:pStyle w:val="Compact"/>
      </w:pPr>
      <w:r>
        <w:t xml:space="preserve">Non-renewable electricity used: 1.2 kWh/unit * (1 - 0.75) = 0.3 kWh/unit</w:t>
      </w:r>
    </w:p>
    <w:p>
      <w:pPr>
        <w:numPr>
          <w:ilvl w:val="0"/>
          <w:numId w:val="1005"/>
        </w:numPr>
        <w:pStyle w:val="Compact"/>
      </w:pPr>
      <w:r>
        <w:t xml:space="preserve">Emissions from non-renewable electricity: 0.3 kWh/unit * 0.6 kg CO2e/kWh =</w:t>
      </w:r>
      <w:r>
        <w:t xml:space="preserve"> </w:t>
      </w:r>
      <w:r>
        <w:t xml:space="preserve">0.18 kg CO2e/unit</w:t>
      </w:r>
    </w:p>
    <w:p>
      <w:pPr>
        <w:numPr>
          <w:ilvl w:val="0"/>
          <w:numId w:val="1005"/>
        </w:numPr>
        <w:pStyle w:val="Compact"/>
      </w:pPr>
      <w:r>
        <w:t xml:space="preserve">Renewable electricity used: 1.2 kWh/unit * 0.75 = 0.9 kWh/unit (0 kg CO2e emissions)</w:t>
      </w:r>
    </w:p>
    <w:bookmarkEnd w:id="30"/>
    <w:bookmarkStart w:id="31" w:name="transportation-supply-chain"/>
    <w:p>
      <w:pPr>
        <w:pStyle w:val="Heading3"/>
      </w:pPr>
      <w:r>
        <w:t xml:space="preserve">2.3. Transportation (Supply Chain)</w:t>
      </w:r>
    </w:p>
    <w:p>
      <w:pPr>
        <w:pStyle w:val="FirstParagraph"/>
      </w:pPr>
      <w:r>
        <w:t xml:space="preserve">Transportation impacts are crucial for a Europe-focused supply chain from China. The following logistics data is incorporated:</w:t>
      </w:r>
    </w:p>
    <w:p>
      <w:pPr>
        <w:numPr>
          <w:ilvl w:val="0"/>
          <w:numId w:val="1006"/>
        </w:numPr>
        <w:pStyle w:val="Compact"/>
      </w:pPr>
      <w:r>
        <w:rPr>
          <w:bCs/>
          <w:b/>
        </w:rPr>
        <w:t xml:space="preserve">Transport Mode (Primary):</w:t>
      </w:r>
      <w:r>
        <w:t xml:space="preserve"> </w:t>
      </w:r>
      <w:r>
        <w:t xml:space="preserve">Select Mode</w:t>
      </w:r>
      <w:r>
        <w:t xml:space="preserve"> </w:t>
      </w:r>
      <w:r>
        <w:t xml:space="preserve">(Ocean Freight - Container Ship)</w:t>
      </w:r>
    </w:p>
    <w:p>
      <w:pPr>
        <w:numPr>
          <w:ilvl w:val="0"/>
          <w:numId w:val="1006"/>
        </w:numPr>
        <w:pStyle w:val="Compact"/>
      </w:pPr>
      <w:r>
        <w:rPr>
          <w:bCs/>
          <w:b/>
        </w:rPr>
        <w:t xml:space="preserve">Transport Distance (Primary):</w:t>
      </w:r>
      <w:r>
        <w:t xml:space="preserve"> </w:t>
      </w:r>
      <w:r>
        <w:t xml:space="preserve">rosymifxrg</w:t>
      </w:r>
      <w:r>
        <w:t xml:space="preserve"> </w:t>
      </w:r>
      <w:r>
        <w:t xml:space="preserve">(15000 km)</w:t>
      </w:r>
    </w:p>
    <w:p>
      <w:pPr>
        <w:numPr>
          <w:ilvl w:val="0"/>
          <w:numId w:val="1006"/>
        </w:numPr>
        <w:pStyle w:val="Compact"/>
      </w:pPr>
      <w:r>
        <w:rPr>
          <w:bCs/>
          <w:b/>
        </w:rPr>
        <w:t xml:space="preserve">Transport Mode (Secondary/Last-Mile):</w:t>
      </w:r>
      <w:r>
        <w:t xml:space="preserve"> </w:t>
      </w:r>
      <w:r>
        <w:t xml:space="preserve">Road Freight (Heavy Goods Vehicle / Parcel Service)</w:t>
      </w:r>
    </w:p>
    <w:p>
      <w:pPr>
        <w:numPr>
          <w:ilvl w:val="0"/>
          <w:numId w:val="1006"/>
        </w:numPr>
        <w:pStyle w:val="Compact"/>
      </w:pPr>
      <w:r>
        <w:rPr>
          <w:bCs/>
          <w:b/>
        </w:rPr>
        <w:t xml:space="preserve">Transport Distance (Secondary):</w:t>
      </w:r>
      <w:r>
        <w:t xml:space="preserve"> </w:t>
      </w:r>
      <w:r>
        <w:t xml:space="preserve">500 km (for road freight)</w:t>
      </w:r>
    </w:p>
    <w:p>
      <w:pPr>
        <w:numPr>
          <w:ilvl w:val="0"/>
          <w:numId w:val="1006"/>
        </w:numPr>
        <w:pStyle w:val="Compact"/>
      </w:pPr>
      <w:r>
        <w:rPr>
          <w:bCs/>
          <w:b/>
        </w:rPr>
        <w:t xml:space="preserve">Last-Mile Delivery Channel:</w:t>
      </w:r>
      <w:r>
        <w:t xml:space="preserve"> </w:t>
      </w:r>
      <w:r>
        <w:t xml:space="preserve">Delivery Type</w:t>
      </w:r>
      <w:r>
        <w:t xml:space="preserve"> </w:t>
      </w:r>
      <w:r>
        <w:t xml:space="preserve">(Direct to Consumer via Parcel Service)</w:t>
      </w:r>
    </w:p>
    <w:p>
      <w:pPr>
        <w:pStyle w:val="FirstParagraph"/>
      </w:pPr>
      <w:r>
        <w:t xml:space="preserve">Assuming product weight of 0.6 kg (excluding packaging) and packaging weight of 0.1 kg, total transported weight = 0.7 kg/unit.</w:t>
      </w:r>
    </w:p>
    <w:p>
      <w:pPr>
        <w:pStyle w:val="BodyText"/>
      </w:pPr>
      <w:r>
        <w:t xml:space="preserve">Illustrative Emission Factors:</w:t>
      </w:r>
    </w:p>
    <w:p>
      <w:pPr>
        <w:numPr>
          <w:ilvl w:val="0"/>
          <w:numId w:val="1007"/>
        </w:numPr>
        <w:pStyle w:val="Compact"/>
      </w:pPr>
      <w:r>
        <w:t xml:space="preserve">Ocean Freight: 0.01 kg CO2e/tonne-km (tkm)</w:t>
      </w:r>
    </w:p>
    <w:p>
      <w:pPr>
        <w:numPr>
          <w:ilvl w:val="0"/>
          <w:numId w:val="1007"/>
        </w:numPr>
        <w:pStyle w:val="Compact"/>
      </w:pPr>
      <w:r>
        <w:t xml:space="preserve">Road Freight (long-haul): 0.08 kg CO2e/tkm</w:t>
      </w:r>
    </w:p>
    <w:p>
      <w:pPr>
        <w:numPr>
          <w:ilvl w:val="0"/>
          <w:numId w:val="1007"/>
        </w:numPr>
        <w:pStyle w:val="Compact"/>
      </w:pPr>
      <w:r>
        <w:t xml:space="preserve">Parcel Service (last-mile): 0.15 kg CO2e/tkm (reflecting lower efficiency)</w:t>
      </w:r>
    </w:p>
    <w:p>
      <w:pPr>
        <w:pStyle w:val="FirstParagraph"/>
      </w:pPr>
      <w:r>
        <w:t xml:space="preserve">Calculations:</w:t>
      </w:r>
    </w:p>
    <w:p>
      <w:pPr>
        <w:numPr>
          <w:ilvl w:val="0"/>
          <w:numId w:val="1008"/>
        </w:numPr>
        <w:pStyle w:val="Compact"/>
      </w:pPr>
      <w:r>
        <w:t xml:space="preserve">Ocean Freight: (0.7 kg / 1000) tonnes * 15000 km * 0.01 kg CO2e/tkm =</w:t>
      </w:r>
      <w:r>
        <w:t xml:space="preserve"> </w:t>
      </w:r>
      <w:r>
        <w:t xml:space="preserve">0.105 kg CO2e</w:t>
      </w:r>
    </w:p>
    <w:p>
      <w:pPr>
        <w:numPr>
          <w:ilvl w:val="0"/>
          <w:numId w:val="1008"/>
        </w:numPr>
        <w:pStyle w:val="Compact"/>
      </w:pPr>
      <w:r>
        <w:t xml:space="preserve">Road Freight (to distribution centers, estimate): (0.7 kg / 1000) tonnes * 500 km * 0.08 kg CO2e/tkm =</w:t>
      </w:r>
      <w:r>
        <w:t xml:space="preserve"> </w:t>
      </w:r>
      <w:r>
        <w:t xml:space="preserve">0.028 kg CO2e</w:t>
      </w:r>
    </w:p>
    <w:p>
      <w:pPr>
        <w:numPr>
          <w:ilvl w:val="0"/>
          <w:numId w:val="1008"/>
        </w:numPr>
        <w:pStyle w:val="Compact"/>
      </w:pPr>
      <w:r>
        <w:t xml:space="preserve">Last-Mile Delivery (parcel): (0.7 kg / 1000) tonnes * 100 km (average last-mile) * 0.15 kg CO2e/tkm =</w:t>
      </w:r>
      <w:r>
        <w:t xml:space="preserve"> </w:t>
      </w:r>
      <w:r>
        <w:t xml:space="preserve">0.0105 kg CO2e</w:t>
      </w:r>
    </w:p>
    <w:p>
      <w:pPr>
        <w:numPr>
          <w:ilvl w:val="0"/>
          <w:numId w:val="1008"/>
        </w:numPr>
        <w:pStyle w:val="Compact"/>
      </w:pPr>
      <w:r>
        <w:t xml:space="preserve">Total Transport Emissions:</w:t>
      </w:r>
      <w:r>
        <w:t xml:space="preserve"> </w:t>
      </w:r>
      <w:r>
        <w:t xml:space="preserve">0.1435 kg CO2e</w:t>
      </w:r>
    </w:p>
    <w:bookmarkEnd w:id="31"/>
    <w:bookmarkStart w:id="32" w:name="use-phase"/>
    <w:p>
      <w:pPr>
        <w:pStyle w:val="Heading3"/>
      </w:pPr>
      <w:r>
        <w:t xml:space="preserve">2.4. Use Phase</w:t>
      </w:r>
    </w:p>
    <w:p>
      <w:pPr>
        <w:pStyle w:val="FirstParagraph"/>
      </w:pPr>
      <w:r>
        <w:t xml:space="preserve">The \'Use Phase\' calculation incorporates specific durability and consumption data:</w:t>
      </w:r>
    </w:p>
    <w:p>
      <w:pPr>
        <w:numPr>
          <w:ilvl w:val="0"/>
          <w:numId w:val="1009"/>
        </w:numPr>
        <w:pStyle w:val="Compact"/>
      </w:pPr>
      <w:r>
        <w:rPr>
          <w:bCs/>
          <w:b/>
        </w:rPr>
        <w:t xml:space="preserve">Product Lifespan:</w:t>
      </w:r>
      <w:r>
        <w:t xml:space="preserve"> </w:t>
      </w:r>
      <w:r>
        <w:t xml:space="preserve">upirgxknii</w:t>
      </w:r>
      <w:r>
        <w:t xml:space="preserve"> </w:t>
      </w:r>
      <w:r>
        <w:t xml:space="preserve">(3 years)</w:t>
      </w:r>
    </w:p>
    <w:p>
      <w:pPr>
        <w:numPr>
          <w:ilvl w:val="0"/>
          <w:numId w:val="1009"/>
        </w:numPr>
        <w:pStyle w:val="Compact"/>
      </w:pPr>
      <w:r>
        <w:rPr>
          <w:bCs/>
          <w:b/>
        </w:rPr>
        <w:t xml:space="preserve">Energy Consumption in Use:</w:t>
      </w:r>
      <w:r>
        <w:t xml:space="preserve"> </w:t>
      </w:r>
      <w:r>
        <w:t xml:space="preserve">qmyvxizzze</w:t>
      </w:r>
      <w:r>
        <w:t xml:space="preserve"> </w:t>
      </w:r>
      <w:r>
        <w:t xml:space="preserve">(0.05 kWh/day)</w:t>
      </w:r>
    </w:p>
    <w:p>
      <w:pPr>
        <w:pStyle w:val="FirstParagraph"/>
      </w:pPr>
      <w:r>
        <w:t xml:space="preserve">Assuming a global average grid electricity emission factor of 0.4 kg CO2e/kWh for the use phase:</w:t>
      </w:r>
    </w:p>
    <w:p>
      <w:pPr>
        <w:numPr>
          <w:ilvl w:val="0"/>
          <w:numId w:val="1010"/>
        </w:numPr>
        <w:pStyle w:val="Compact"/>
      </w:pPr>
      <w:r>
        <w:t xml:space="preserve">Total energy consumption over lifespan: 0.05 kWh/day * 365 days/year * 3 years = 54.75 kWh</w:t>
      </w:r>
    </w:p>
    <w:p>
      <w:pPr>
        <w:numPr>
          <w:ilvl w:val="0"/>
          <w:numId w:val="1010"/>
        </w:numPr>
        <w:pStyle w:val="Compact"/>
      </w:pPr>
      <w:r>
        <w:t xml:space="preserve">Use phase emissions: 54.75 kWh * 0.4 kg CO2e/kWh =</w:t>
      </w:r>
      <w:r>
        <w:t xml:space="preserve"> </w:t>
      </w:r>
      <w:r>
        <w:t xml:space="preserve">21.9 kg CO2e</w:t>
      </w:r>
    </w:p>
    <w:bookmarkEnd w:id="32"/>
    <w:bookmarkStart w:id="33" w:name="end-of-life-eol-scenarios"/>
    <w:p>
      <w:pPr>
        <w:pStyle w:val="Heading3"/>
      </w:pPr>
      <w:r>
        <w:t xml:space="preserve">2.5. End-of-Life (EoL) Scenarios</w:t>
      </w:r>
    </w:p>
    <w:p>
      <w:pPr>
        <w:pStyle w:val="FirstParagraph"/>
      </w:pPr>
      <w:r>
        <w:t xml:space="preserve">End-of-Life scenarios reflect circular economy impacts:</w:t>
      </w:r>
    </w:p>
    <w:p>
      <w:pPr>
        <w:numPr>
          <w:ilvl w:val="0"/>
          <w:numId w:val="1011"/>
        </w:numPr>
        <w:pStyle w:val="Compact"/>
      </w:pPr>
      <w:r>
        <w:rPr>
          <w:bCs/>
          <w:b/>
        </w:rPr>
        <w:t xml:space="preserve">Recyclability Percentage:</w:t>
      </w:r>
      <w:r>
        <w:t xml:space="preserve"> </w:t>
      </w:r>
      <w:r>
        <w:t xml:space="preserve">vswxdkpotl</w:t>
      </w:r>
      <w:r>
        <w:t xml:space="preserve"> </w:t>
      </w:r>
      <w:r>
        <w:t xml:space="preserve">(80%)</w:t>
      </w:r>
    </w:p>
    <w:p>
      <w:pPr>
        <w:numPr>
          <w:ilvl w:val="0"/>
          <w:numId w:val="1011"/>
        </w:numPr>
        <w:pStyle w:val="Compact"/>
      </w:pPr>
      <w:r>
        <w:rPr>
          <w:bCs/>
          <w:b/>
        </w:rPr>
        <w:t xml:space="preserve">Circular/Take-back Programs:</w:t>
      </w:r>
      <w:r>
        <w:t xml:space="preserve"> </w:t>
      </w:r>
      <w:r>
        <w:t xml:space="preserve">ezuzvwqzmx</w:t>
      </w:r>
      <w:r>
        <w:t xml:space="preserve"> </w:t>
      </w:r>
      <w:r>
        <w:t xml:space="preserve">(Established collection and refurbishment program)</w:t>
      </w:r>
    </w:p>
    <w:p>
      <w:pPr>
        <w:pStyle w:val="FirstParagraph"/>
      </w:pPr>
      <w:r>
        <w:t xml:space="preserve">Assuming product weight of 0.6 kg (excluding packaging) and an avoided emissions factor for recycling of -1.5 kg CO2e/kg (for mixed materials) and a disposal emission factor of 0.3 kg CO2e/kg for non-recycled waste:</w:t>
      </w:r>
    </w:p>
    <w:p>
      <w:pPr>
        <w:numPr>
          <w:ilvl w:val="0"/>
          <w:numId w:val="1012"/>
        </w:numPr>
        <w:pStyle w:val="Compact"/>
      </w:pPr>
      <w:r>
        <w:t xml:space="preserve">Recycled portion: 0.6 kg * 0.80 = 0.48 kg</w:t>
      </w:r>
    </w:p>
    <w:p>
      <w:pPr>
        <w:numPr>
          <w:ilvl w:val="0"/>
          <w:numId w:val="1012"/>
        </w:numPr>
        <w:pStyle w:val="Compact"/>
      </w:pPr>
      <w:r>
        <w:t xml:space="preserve">Non-recycled portion: 0.6 kg * 0.20 = 0.12 kg</w:t>
      </w:r>
    </w:p>
    <w:p>
      <w:pPr>
        <w:numPr>
          <w:ilvl w:val="0"/>
          <w:numId w:val="1012"/>
        </w:numPr>
        <w:pStyle w:val="Compact"/>
      </w:pPr>
      <w:r>
        <w:t xml:space="preserve">Emissions from non-recycled waste: 0.12 kg * 0.3 kg CO2e/kg =</w:t>
      </w:r>
      <w:r>
        <w:t xml:space="preserve"> </w:t>
      </w:r>
      <w:r>
        <w:t xml:space="preserve">0.036 kg CO2e</w:t>
      </w:r>
    </w:p>
    <w:p>
      <w:pPr>
        <w:numPr>
          <w:ilvl w:val="0"/>
          <w:numId w:val="1012"/>
        </w:numPr>
        <w:pStyle w:val="Compact"/>
      </w:pPr>
      <w:r>
        <w:t xml:space="preserve">Avoided emissions from recycling: 0.48 kg * (-1.5 kg CO2e/kg) =</w:t>
      </w:r>
      <w:r>
        <w:t xml:space="preserve"> </w:t>
      </w:r>
      <w:r>
        <w:t xml:space="preserve">-0.72 kg CO2e</w:t>
      </w:r>
    </w:p>
    <w:p>
      <w:pPr>
        <w:numPr>
          <w:ilvl w:val="0"/>
          <w:numId w:val="1012"/>
        </w:numPr>
        <w:pStyle w:val="Compact"/>
      </w:pPr>
      <w:r>
        <w:t xml:space="preserve">Net End-of-Life Emissions (including packaging): 0.036 kg CO2e - 0.72 kg CO2e =</w:t>
      </w:r>
      <w:r>
        <w:t xml:space="preserve"> </w:t>
      </w:r>
      <w:r>
        <w:t xml:space="preserve">-0.684 kg CO2e</w:t>
      </w:r>
      <w:r>
        <w:t xml:space="preserve"> </w:t>
      </w:r>
      <w:r>
        <w:t xml:space="preserve">(This indicates a net benefit due to high recyclability and circular programs)</w:t>
      </w:r>
    </w:p>
    <w:p>
      <w:pPr>
        <w:pStyle w:val="FirstParagraph"/>
      </w:pPr>
      <w:r>
        <w:rPr>
          <w:iCs/>
          <w:i/>
        </w:rPr>
        <w:t xml:space="preserve">The presence of an "Established collection and refurbishment program" (</w:t>
      </w:r>
      <w:r>
        <w:rPr>
          <w:iCs/>
          <w:i/>
        </w:rPr>
        <w:t xml:space="preserve">ezuzvwqzmx</w:t>
      </w:r>
      <w:r>
        <w:rPr>
          <w:iCs/>
          <w:i/>
        </w:rPr>
        <w:t xml:space="preserve">) further enhances the circularity and potentially reduces emissions by extending product lifespan, though specific quantification is outside the scope of this baseline PCF. The recycling credit represents the avoidance of virgin material production.</w:t>
      </w:r>
    </w:p>
    <w:p>
      <w:r>
        <w:pict>
          <v:rect style="width:0;height:1.5pt" o:hralign="center" o:hrstd="t" o:hr="t"/>
        </w:pict>
      </w:r>
    </w:p>
    <w:bookmarkEnd w:id="33"/>
    <w:bookmarkEnd w:id="34"/>
    <w:bookmarkStart w:id="38" w:name="X2c62247db19834934c44c209ad423fe06ba5c64"/>
    <w:p>
      <w:pPr>
        <w:pStyle w:val="Heading2"/>
      </w:pPr>
      <w:r>
        <w:t xml:space="preserve">4. Calculation of Emissions (Activity * Emission Factor = CO2e)</w:t>
      </w:r>
    </w:p>
    <w:p>
      <w:pPr>
        <w:pStyle w:val="FirstParagraph"/>
      </w:pPr>
      <w:r>
        <w:t xml:space="preserve">This section consolidates the emissions calculated for each lifecycle stage, categorized by GHG Protocol scopes.</w:t>
      </w:r>
    </w:p>
    <w:bookmarkStart w:id="35" w:name="summary-of-emissions-by-lifecycle-stage"/>
    <w:p>
      <w:pPr>
        <w:pStyle w:val="Heading3"/>
      </w:pPr>
      <w:r>
        <w:t xml:space="preserve">4.1. Summary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Calculated Emissions (kg CO2e)</w:t>
            </w:r>
          </w:p>
        </w:tc>
        <w:tc>
          <w:tcPr/>
          <w:p>
            <w:pPr>
              <w:pStyle w:val="Compact"/>
              <w:jc w:val="left"/>
            </w:pPr>
            <w:r>
              <w:t xml:space="preserve">GHG Scope</w:t>
            </w:r>
          </w:p>
        </w:tc>
      </w:tr>
      <w:tr>
        <w:tc>
          <w:tcPr/>
          <w:p>
            <w:pPr>
              <w:pStyle w:val="Compact"/>
              <w:jc w:val="left"/>
            </w:pPr>
            <w:r>
              <w:t xml:space="preserve">Materials (Raw Material Extraction &amp; Processing)</w:t>
            </w:r>
          </w:p>
        </w:tc>
        <w:tc>
          <w:tcPr/>
          <w:p>
            <w:pPr>
              <w:pStyle w:val="Compact"/>
              <w:jc w:val="left"/>
            </w:pPr>
            <w:r>
              <w:t xml:space="preserve">2.51</w:t>
            </w:r>
          </w:p>
        </w:tc>
        <w:tc>
          <w:tcPr/>
          <w:p>
            <w:pPr>
              <w:pStyle w:val="Compact"/>
              <w:jc w:val="left"/>
            </w:pPr>
            <w:r>
              <w:t xml:space="preserve">Scope 3 (Upstream)</w:t>
            </w:r>
          </w:p>
        </w:tc>
      </w:tr>
      <w:tr>
        <w:tc>
          <w:tcPr/>
          <w:p>
            <w:pPr>
              <w:pStyle w:val="Compact"/>
              <w:jc w:val="left"/>
            </w:pPr>
            <w:r>
              <w:t xml:space="preserve">Production (Manufacturing Energy)</w:t>
            </w:r>
          </w:p>
        </w:tc>
        <w:tc>
          <w:tcPr/>
          <w:p>
            <w:pPr>
              <w:pStyle w:val="Compact"/>
              <w:jc w:val="left"/>
            </w:pPr>
            <w:r>
              <w:t xml:space="preserve">0.18</w:t>
            </w:r>
          </w:p>
        </w:tc>
        <w:tc>
          <w:tcPr/>
          <w:p>
            <w:pPr>
              <w:pStyle w:val="Compact"/>
              <w:jc w:val="left"/>
            </w:pPr>
            <w:r>
              <w:t xml:space="preserve">Scope 2</w:t>
            </w:r>
          </w:p>
        </w:tc>
      </w:tr>
      <w:tr>
        <w:tc>
          <w:tcPr/>
          <w:p>
            <w:pPr>
              <w:pStyle w:val="Compact"/>
              <w:jc w:val="left"/>
            </w:pPr>
            <w:r>
              <w:t xml:space="preserve">Transportation (Inbound/Outbound Logistics)</w:t>
            </w:r>
          </w:p>
        </w:tc>
        <w:tc>
          <w:tcPr/>
          <w:p>
            <w:pPr>
              <w:pStyle w:val="Compact"/>
              <w:jc w:val="left"/>
            </w:pPr>
            <w:r>
              <w:t xml:space="preserve">0.1435</w:t>
            </w:r>
          </w:p>
        </w:tc>
        <w:tc>
          <w:tcPr/>
          <w:p>
            <w:pPr>
              <w:pStyle w:val="Compact"/>
              <w:jc w:val="left"/>
            </w:pPr>
            <w:r>
              <w:t xml:space="preserve">Scope 3 (Upstream &amp; Downstream)</w:t>
            </w:r>
          </w:p>
        </w:tc>
      </w:tr>
      <w:tr>
        <w:tc>
          <w:tcPr/>
          <w:p>
            <w:pPr>
              <w:pStyle w:val="Compact"/>
              <w:jc w:val="left"/>
            </w:pPr>
            <w:r>
              <w:t xml:space="preserve">Use Phase (Energy Consumption)</w:t>
            </w:r>
          </w:p>
        </w:tc>
        <w:tc>
          <w:tcPr/>
          <w:p>
            <w:pPr>
              <w:pStyle w:val="Compact"/>
              <w:jc w:val="left"/>
            </w:pPr>
            <w:r>
              <w:t xml:space="preserve">21.9</w:t>
            </w:r>
          </w:p>
        </w:tc>
        <w:tc>
          <w:tcPr/>
          <w:p>
            <w:pPr>
              <w:pStyle w:val="Compact"/>
              <w:jc w:val="left"/>
            </w:pPr>
            <w:r>
              <w:t xml:space="preserve">Scope 3 (Downstream)</w:t>
            </w:r>
          </w:p>
        </w:tc>
      </w:tr>
      <w:tr>
        <w:tc>
          <w:tcPr/>
          <w:p>
            <w:pPr>
              <w:pStyle w:val="Compact"/>
              <w:jc w:val="left"/>
            </w:pPr>
            <w:r>
              <w:t xml:space="preserve">End-of-Life (Disposal &amp; Recycling Benefits)</w:t>
            </w:r>
          </w:p>
        </w:tc>
        <w:tc>
          <w:tcPr/>
          <w:p>
            <w:pPr>
              <w:pStyle w:val="Compact"/>
              <w:jc w:val="left"/>
            </w:pPr>
            <w:r>
              <w:t xml:space="preserve">-0.684</w:t>
            </w:r>
          </w:p>
        </w:tc>
        <w:tc>
          <w:tcPr/>
          <w:p>
            <w:pPr>
              <w:pStyle w:val="Compact"/>
              <w:jc w:val="left"/>
            </w:pPr>
            <w:r>
              <w:t xml:space="preserve">Scope 3 (Downstream)</w:t>
            </w:r>
          </w:p>
        </w:tc>
      </w:tr>
    </w:tbl>
    <w:bookmarkEnd w:id="35"/>
    <w:bookmarkStart w:id="36" w:name="total-product-carbon-footprint"/>
    <w:p>
      <w:pPr>
        <w:pStyle w:val="Heading3"/>
      </w:pPr>
      <w:r>
        <w:t xml:space="preserve">4.2. Total Product Carbon Footprint</w:t>
      </w:r>
    </w:p>
    <w:p>
      <w:pPr>
        <w:pStyle w:val="FirstParagraph"/>
      </w:pPr>
      <w:r>
        <w:rPr>
          <w:bCs/>
          <w:b/>
        </w:rPr>
        <w:t xml:space="preserve">Total PCF for uokqmfqsex:</w:t>
      </w:r>
    </w:p>
    <w:p>
      <w:pPr>
        <w:pStyle w:val="BodyText"/>
      </w:pPr>
      <w:r>
        <w:t xml:space="preserve">2.51 (Materials) + 0.18 (Production) + 0.1435 (Transport) + 21.9 (Use Phase) - 0.684 (EoL) =</w:t>
      </w:r>
      <w:r>
        <w:t xml:space="preserve"> </w:t>
      </w:r>
      <w:r>
        <w:t xml:space="preserve">24.0495 kg CO2e per unit</w:t>
      </w:r>
    </w:p>
    <w:bookmarkEnd w:id="36"/>
    <w:bookmarkStart w:id="37" w:name="emissions-categorization-by-scope"/>
    <w:p>
      <w:pPr>
        <w:pStyle w:val="Heading3"/>
      </w:pPr>
      <w:r>
        <w:t xml:space="preserve">4.3. Emissions Categorization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rPr>
                <w:bCs/>
                <w:b/>
              </w:rPr>
              <w:t xml:space="preserve">Scope 1</w:t>
            </w:r>
            <w:r>
              <w:t xml:space="preserve"> </w:t>
            </w:r>
            <w:r>
              <w:t xml:space="preserve">(Direct Operations)</w:t>
            </w:r>
          </w:p>
        </w:tc>
        <w:tc>
          <w:tcPr/>
          <w:p>
            <w:pPr>
              <w:pStyle w:val="Compact"/>
              <w:jc w:val="left"/>
            </w:pPr>
            <w:r>
              <w:t xml:space="preserve">0.00</w:t>
            </w:r>
            <w:r>
              <w:t xml:space="preserve"> </w:t>
            </w:r>
            <w:r>
              <w:t xml:space="preserve">(Assumed minimal, not quantified in detail for this PCF)</w:t>
            </w:r>
          </w:p>
        </w:tc>
        <w:tc>
          <w:tcPr/>
          <w:p>
            <w:pPr>
              <w:pStyle w:val="Compact"/>
              <w:jc w:val="left"/>
            </w:pPr>
            <w:r>
              <w:t xml:space="preserve">0.00%</w:t>
            </w:r>
          </w:p>
        </w:tc>
      </w:tr>
      <w:tr>
        <w:tc>
          <w:tcPr/>
          <w:p>
            <w:pPr>
              <w:pStyle w:val="Compact"/>
              <w:jc w:val="left"/>
            </w:pPr>
            <w:r>
              <w:rPr>
                <w:bCs/>
                <w:b/>
              </w:rPr>
              <w:t xml:space="preserve">Scope 2</w:t>
            </w:r>
            <w:r>
              <w:t xml:space="preserve"> </w:t>
            </w:r>
            <w:r>
              <w:t xml:space="preserve">(Purchased Energy - Production)</w:t>
            </w:r>
          </w:p>
        </w:tc>
        <w:tc>
          <w:tcPr/>
          <w:p>
            <w:pPr>
              <w:pStyle w:val="Compact"/>
              <w:jc w:val="left"/>
            </w:pPr>
            <w:r>
              <w:t xml:space="preserve">0.18</w:t>
            </w:r>
          </w:p>
        </w:tc>
        <w:tc>
          <w:tcPr/>
          <w:p>
            <w:pPr>
              <w:pStyle w:val="Compact"/>
              <w:jc w:val="left"/>
            </w:pPr>
            <w:r>
              <w:t xml:space="preserve">0.75%</w:t>
            </w:r>
          </w:p>
        </w:tc>
      </w:tr>
      <w:tr>
        <w:tc>
          <w:tcPr/>
          <w:p>
            <w:pPr>
              <w:pStyle w:val="Compact"/>
              <w:jc w:val="left"/>
            </w:pPr>
            <w:r>
              <w:rPr>
                <w:bCs/>
                <w:b/>
              </w:rPr>
              <w:t xml:space="preserve">Scope 3</w:t>
            </w:r>
            <w:r>
              <w:t xml:space="preserve"> </w:t>
            </w:r>
            <w:r>
              <w:t xml:space="preserve">(Value Chain - Total)</w:t>
            </w:r>
          </w:p>
        </w:tc>
        <w:tc>
          <w:tcPr/>
          <w:p>
            <w:pPr>
              <w:pStyle w:val="Compact"/>
              <w:jc w:val="left"/>
            </w:pPr>
            <w:r>
              <w:t xml:space="preserve">23.8695</w:t>
            </w:r>
          </w:p>
        </w:tc>
        <w:tc>
          <w:tcPr/>
          <w:p>
            <w:pPr>
              <w:pStyle w:val="Compact"/>
              <w:jc w:val="left"/>
            </w:pPr>
            <w:r>
              <w:t xml:space="preserve">99.25%</w:t>
            </w:r>
          </w:p>
        </w:tc>
      </w:tr>
      <w:tr>
        <w:tc>
          <w:tcPr/>
          <w:p>
            <w:pPr>
              <w:pStyle w:val="Compact"/>
              <w:jc w:val="left"/>
            </w:pPr>
            <w:r>
              <w:t xml:space="preserve">    Upstream (Materials + Inbound/Outbound Transport)</w:t>
            </w:r>
          </w:p>
        </w:tc>
        <w:tc>
          <w:tcPr/>
          <w:p>
            <w:pPr>
              <w:pStyle w:val="Compact"/>
              <w:jc w:val="left"/>
            </w:pPr>
            <w:r>
              <w:t xml:space="preserve">2.51 + 0.1435 = 2.6535</w:t>
            </w:r>
          </w:p>
        </w:tc>
        <w:tc>
          <w:tcPr/>
          <w:p>
            <w:pPr>
              <w:pStyle w:val="Compact"/>
              <w:jc w:val="left"/>
            </w:pPr>
            <w:r>
              <w:t xml:space="preserve">11.03%</w:t>
            </w:r>
          </w:p>
        </w:tc>
      </w:tr>
      <w:tr>
        <w:tc>
          <w:tcPr/>
          <w:p>
            <w:pPr>
              <w:pStyle w:val="Compact"/>
              <w:jc w:val="left"/>
            </w:pPr>
            <w:r>
              <w:t xml:space="preserve">    Downstream (Use Phase + End-of-Life)</w:t>
            </w:r>
          </w:p>
        </w:tc>
        <w:tc>
          <w:tcPr/>
          <w:p>
            <w:pPr>
              <w:pStyle w:val="Compact"/>
              <w:jc w:val="left"/>
            </w:pPr>
            <w:r>
              <w:t xml:space="preserve">21.9 - 0.684 = 21.216</w:t>
            </w:r>
          </w:p>
        </w:tc>
        <w:tc>
          <w:tcPr/>
          <w:p>
            <w:pPr>
              <w:pStyle w:val="Compact"/>
              <w:jc w:val="left"/>
            </w:pPr>
            <w:r>
              <w:t xml:space="preserve">88.22%</w:t>
            </w:r>
          </w:p>
        </w:tc>
      </w:tr>
      <w:tr>
        <w:tc>
          <w:tcPr/>
          <w:p>
            <w:pPr>
              <w:pStyle w:val="Compact"/>
              <w:jc w:val="left"/>
            </w:pPr>
            <w:r>
              <w:rPr>
                <w:bCs/>
                <w:b/>
              </w:rPr>
              <w:t xml:space="preserve">Total PCF</w:t>
            </w:r>
          </w:p>
        </w:tc>
        <w:tc>
          <w:tcPr/>
          <w:p>
            <w:pPr>
              <w:pStyle w:val="Compact"/>
              <w:jc w:val="left"/>
            </w:pPr>
            <w:r>
              <w:t xml:space="preserve">24.0495</w:t>
            </w:r>
          </w:p>
        </w:tc>
        <w:tc>
          <w:tcPr/>
          <w:p>
            <w:pPr>
              <w:pStyle w:val="Compact"/>
              <w:jc w:val="left"/>
            </w:pPr>
            <w:r>
              <w:t xml:space="preserve">100.00%</w:t>
            </w:r>
          </w:p>
        </w:tc>
      </w:tr>
    </w:tbl>
    <w:p>
      <w:pPr>
        <w:pStyle w:val="BodyText"/>
      </w:pPr>
      <w:r>
        <w:rPr>
          <w:iCs/>
          <w:i/>
        </w:rPr>
        <w:t xml:space="preserve">Scope 3 coverage is approximately 99.25% of the total footprint, exceeding the 2026 requirement of 95%. This high percentage is typical for product-level assessments.</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identification"/>
    <w:p>
      <w:pPr>
        <w:pStyle w:val="Heading3"/>
      </w:pPr>
      <w:r>
        <w:t xml:space="preserve">5.1. Emission Hotspots Identification</w:t>
      </w:r>
    </w:p>
    <w:p>
      <w:pPr>
        <w:pStyle w:val="FirstParagraph"/>
      </w:pPr>
      <w:r>
        <w:t xml:space="preserve">Based on the analysis, the primary emission hotspots for uokqmfqsex are:</w:t>
      </w:r>
    </w:p>
    <w:p>
      <w:pPr>
        <w:numPr>
          <w:ilvl w:val="0"/>
          <w:numId w:val="1013"/>
        </w:numPr>
        <w:pStyle w:val="Compact"/>
      </w:pPr>
      <w:r>
        <w:rPr>
          <w:bCs/>
          <w:b/>
        </w:rPr>
        <w:t xml:space="preserve">Use Phase (21.9 kg CO2e, ~91% of total):</w:t>
      </w:r>
      <w:r>
        <w:t xml:space="preserve"> </w:t>
      </w:r>
      <w:r>
        <w:t xml:space="preserve">This is overwhelmingly the largest contributor due to the product\'s energy consumption over its 3-year lifespan, even with an estimated global average grid mix. This indicates significant opportunities for design improvements focusing on energy efficiency.</w:t>
      </w:r>
    </w:p>
    <w:p>
      <w:pPr>
        <w:numPr>
          <w:ilvl w:val="0"/>
          <w:numId w:val="1013"/>
        </w:numPr>
        <w:pStyle w:val="Compact"/>
      </w:pPr>
      <w:r>
        <w:rPr>
          <w:bCs/>
          <w:b/>
        </w:rPr>
        <w:t xml:space="preserve">Materials (2.51 kg CO2e, ~10% of total):</w:t>
      </w:r>
      <w:r>
        <w:t xml:space="preserve"> </w:t>
      </w:r>
      <w:r>
        <w:t xml:space="preserve">Raw material extraction and processing, particularly for the Lithium-ion Battery and ABS Plastic, represent the second largest hotspot. Focus here should be on sourcing lower-impact materials or increasing recycled content.</w:t>
      </w:r>
    </w:p>
    <w:p>
      <w:pPr>
        <w:numPr>
          <w:ilvl w:val="0"/>
          <w:numId w:val="1013"/>
        </w:numPr>
        <w:pStyle w:val="Compact"/>
      </w:pPr>
      <w:r>
        <w:rPr>
          <w:bCs/>
          <w:b/>
        </w:rPr>
        <w:t xml:space="preserve">Transportation (0.1435 kg CO2e, ~0.6% of total):</w:t>
      </w:r>
      <w:r>
        <w:t xml:space="preserve"> </w:t>
      </w:r>
      <w:r>
        <w:t xml:space="preserve">While significant in distance, the use of efficient ocean freight keeps this impact relatively low compared to other stages.</w:t>
      </w:r>
    </w:p>
    <w:p>
      <w:pPr>
        <w:numPr>
          <w:ilvl w:val="0"/>
          <w:numId w:val="1013"/>
        </w:numPr>
        <w:pStyle w:val="Compact"/>
      </w:pPr>
      <w:r>
        <w:rPr>
          <w:bCs/>
          <w:b/>
        </w:rPr>
        <w:t xml:space="preserve">Production (0.18 kg CO2e, ~0.75% of total):</w:t>
      </w:r>
      <w:r>
        <w:t xml:space="preserve"> </w:t>
      </w:r>
      <w:r>
        <w:t xml:space="preserve">The high renewable energy usage (75%) at the production facility in China significantly mitigates this phase\'s impact.</w:t>
      </w:r>
    </w:p>
    <w:p>
      <w:pPr>
        <w:numPr>
          <w:ilvl w:val="0"/>
          <w:numId w:val="1013"/>
        </w:numPr>
        <w:pStyle w:val="Compact"/>
      </w:pPr>
      <w:r>
        <w:rPr>
          <w:bCs/>
          <w:b/>
        </w:rPr>
        <w:t xml:space="preserve">End-of-Life (-0.684 kg CO2e, Net Benefit):</w:t>
      </w:r>
      <w:r>
        <w:t xml:space="preserve"> </w:t>
      </w:r>
      <w:r>
        <w:t xml:space="preserve">The high recyclability and existing circular programs create a net carbon benefit at end-of-life, demonstrating the positive impact of circular economy strategies.</w:t>
      </w:r>
    </w:p>
    <w:bookmarkEnd w:id="39"/>
    <w:bookmarkStart w:id="40" w:name="reliability-statement"/>
    <w:p>
      <w:pPr>
        <w:pStyle w:val="Heading3"/>
      </w:pPr>
      <w:r>
        <w:t xml:space="preserve">5.2. Reliability Statement</w:t>
      </w:r>
    </w:p>
    <w:p>
      <w:pPr>
        <w:pStyle w:val="FirstParagraph"/>
      </w:pPr>
      <w:r>
        <w:t xml:space="preserve">The reliability of this PCF analysis is considered high, given the utilization of specific product parameters and adherence to the GHG Protocol. However, it is important to acknowledge:</w:t>
      </w:r>
    </w:p>
    <w:p>
      <w:pPr>
        <w:numPr>
          <w:ilvl w:val="0"/>
          <w:numId w:val="1014"/>
        </w:numPr>
        <w:pStyle w:val="Compact"/>
      </w:pPr>
      <w:r>
        <w:rPr>
          <w:bCs/>
          <w:b/>
        </w:rPr>
        <w:t xml:space="preserve">Illustrative Emission Factors:</w:t>
      </w:r>
      <w:r>
        <w:t xml:space="preserve"> </w:t>
      </w:r>
      <w:r>
        <w:t xml:space="preserve">Generic, industry-average emission factors (conceptually from Ecoinvent/DEFRA) were used where specific supplier-provided data was unavailable. This introduces a degree of uncertainty.</w:t>
      </w:r>
    </w:p>
    <w:p>
      <w:pPr>
        <w:numPr>
          <w:ilvl w:val="0"/>
          <w:numId w:val="1014"/>
        </w:numPr>
        <w:pStyle w:val="Compact"/>
      </w:pPr>
      <w:r>
        <w:rPr>
          <w:bCs/>
          <w:b/>
        </w:rPr>
        <w:t xml:space="preserve">Assumptions:</w:t>
      </w:r>
      <w:r>
        <w:t xml:space="preserve"> </w:t>
      </w:r>
      <w:r>
        <w:t xml:space="preserve">Assumptions were made for certain parameters, such as the global average grid mix for the use phase and estimated distances for last-mile delivery, due to the placeholder nature of some input strings.</w:t>
      </w:r>
    </w:p>
    <w:p>
      <w:pPr>
        <w:numPr>
          <w:ilvl w:val="0"/>
          <w:numId w:val="1014"/>
        </w:numPr>
        <w:pStyle w:val="Compact"/>
      </w:pPr>
      <w:r>
        <w:rPr>
          <w:bCs/>
          <w:b/>
        </w:rPr>
        <w:t xml:space="preserve">LSR Standard:</w:t>
      </w:r>
      <w:r>
        <w:t xml:space="preserve"> </w:t>
      </w:r>
      <w:r>
        <w:t xml:space="preserve">Quantitative application of the 2026 LSR Standard for land-use impacts relies on general industry data for material categories. More specific supplier data on land-use change could refine this aspect.</w:t>
      </w:r>
    </w:p>
    <w:bookmarkEnd w:id="40"/>
    <w:bookmarkStart w:id="41" w:name="recommendations-for-emission-reduction"/>
    <w:p>
      <w:pPr>
        <w:pStyle w:val="Heading3"/>
      </w:pPr>
      <w:r>
        <w:t xml:space="preserve">5.3. Recommendations for Emission Reduction</w:t>
      </w:r>
    </w:p>
    <w:p>
      <w:pPr>
        <w:numPr>
          <w:ilvl w:val="0"/>
          <w:numId w:val="1015"/>
        </w:numPr>
        <w:pStyle w:val="Compact"/>
      </w:pPr>
      <w:r>
        <w:rPr>
          <w:bCs/>
          <w:b/>
        </w:rPr>
        <w:t xml:space="preserve">Prioritize Use Phase Efficiency:</w:t>
      </w:r>
      <w:r>
        <w:t xml:space="preserve"> </w:t>
      </w:r>
      <w:r>
        <w:t xml:space="preserve">Focus product R&amp;D on drastically reducing the energy consumption during the 3-year lifespan of uokqmfqsex. This could involve more energy-efficient components, smart power management features, or transitioning to renewable energy sources for product charging/operation where applicable.</w:t>
      </w:r>
    </w:p>
    <w:p>
      <w:pPr>
        <w:numPr>
          <w:ilvl w:val="0"/>
          <w:numId w:val="1015"/>
        </w:numPr>
        <w:pStyle w:val="Compact"/>
      </w:pPr>
      <w:r>
        <w:rPr>
          <w:bCs/>
          <w:b/>
        </w:rPr>
        <w:t xml:space="preserve">Material Optimization:</w:t>
      </w:r>
      <w:r>
        <w:t xml:space="preserve"> </w:t>
      </w:r>
      <w:r>
        <w:t xml:space="preserve">Investigate alternative materials for high-impact components like batteries and virgin plastics. Explore options for higher recycled content or bio-based alternatives with verified low carbon footprints, especially for the Lithium-ion Battery and ABS Plastic.</w:t>
      </w:r>
    </w:p>
    <w:p>
      <w:pPr>
        <w:numPr>
          <w:ilvl w:val="0"/>
          <w:numId w:val="1015"/>
        </w:numPr>
        <w:pStyle w:val="Compact"/>
      </w:pPr>
      <w:r>
        <w:rPr>
          <w:bCs/>
          <w:b/>
        </w:rPr>
        <w:t xml:space="preserve">Supply Chain Engagement:</w:t>
      </w:r>
      <w:r>
        <w:t xml:space="preserve"> </w:t>
      </w:r>
      <w:r>
        <w:t xml:space="preserve">Engage with key suppliers to obtain primary emission data for materials and processes. This will improve accuracy and identify specific supplier-level reduction opportunities.</w:t>
      </w:r>
    </w:p>
    <w:p>
      <w:pPr>
        <w:numPr>
          <w:ilvl w:val="0"/>
          <w:numId w:val="1015"/>
        </w:numPr>
        <w:pStyle w:val="Compact"/>
      </w:pPr>
      <w:r>
        <w:rPr>
          <w:bCs/>
          <w:b/>
        </w:rPr>
        <w:t xml:space="preserve">Enhance Circular Economy Initiatives:</w:t>
      </w:r>
      <w:r>
        <w:t xml:space="preserve"> </w:t>
      </w:r>
      <w:r>
        <w:t xml:space="preserve">Leverage the existing "Established collection and refurbishment program" (</w:t>
      </w:r>
      <w:r>
        <w:t xml:space="preserve">ezuzvwqzmx</w:t>
      </w:r>
      <w:r>
        <w:t xml:space="preserve">) to its fullest potential, extending product lifespans and maximizing material recovery beyond the current 80% recyclability target.</w:t>
      </w:r>
    </w:p>
    <w:p>
      <w:pPr>
        <w:numPr>
          <w:ilvl w:val="0"/>
          <w:numId w:val="1015"/>
        </w:numPr>
        <w:pStyle w:val="Compact"/>
      </w:pPr>
      <w:r>
        <w:rPr>
          <w:bCs/>
          <w:b/>
        </w:rPr>
        <w:t xml:space="preserve">Renewable Energy Expansion:</w:t>
      </w:r>
      <w:r>
        <w:t xml:space="preserve"> </w:t>
      </w:r>
      <w:r>
        <w:t xml:space="preserve">While already strong, continue to explore increasing renewable energy sourcing beyond 75% for manufacturing facilities, potentially through direct Power Purchase Agreements (PPAs) or on-site generation.</w:t>
      </w:r>
    </w:p>
    <w:p>
      <w:r>
        <w:pict>
          <v:rect style="width:0;height:1.5pt" o:hralign="center" o:hrstd="t" o:hr="t"/>
        </w:pict>
      </w:r>
    </w:p>
    <w:p>
      <w:pPr>
        <w:pStyle w:val="FirstParagraph"/>
      </w:pPr>
      <w:r>
        <w:t xml:space="preserve">Confidential - Internal Use Only</w:t>
      </w:r>
    </w:p>
    <w:p>
      <w:pPr>
        <w:pStyle w:val="BodyText"/>
      </w:pPr>
      <w:r>
        <w:t xml:space="preserve">This report is for internal use by iurrlymdki and its stakeholders to guide sustainability efforts.</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uokqmfqsex</dc:title>
  <dc:creator/>
  <dc:description>Detailed Product Carbon Footprint (PCF) analysis report for uokqmfqsex, conducted by Senior Sustainability Consultant tioxwkwyqj for iurrlymdki, adhering to GHG Protocol and 2026 LSR Update requirements.</dc:description>
  <dc:language>en</dc:language>
  <cp:keywords/>
  <dcterms:created xsi:type="dcterms:W3CDTF">2026-05-30T23:57:37Z</dcterms:created>
  <dcterms:modified xsi:type="dcterms:W3CDTF">2026-05-30T23:57:37Z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