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ulymdgoxnu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ulymdgoxnu</w:t>
      </w:r>
    </w:p>
    <w:p>
      <w:pPr>
        <w:pStyle w:val="BodyText"/>
      </w:pPr>
      <w:r>
        <w:t xml:space="preserve">Protocol Data (Accounting Standard): GHG Protocol</w:t>
      </w:r>
    </w:p>
    <w:p>
      <w:pPr>
        <w:pStyle w:val="BodyText"/>
      </w:pPr>
      <w:r>
        <w:t xml:space="preserve">Company Name: teiwskstzf</w:t>
      </w:r>
    </w:p>
    <w:p>
      <w:pPr>
        <w:pStyle w:val="BodyText"/>
      </w:pPr>
      <w:r>
        <w:t xml:space="preserve">Senior Sustainability Consultant: jysujkvhfs</w:t>
      </w:r>
    </w:p>
    <w:p>
      <w:pPr>
        <w:pStyle w:val="BodyText"/>
      </w:pPr>
      <w:r>
        <w:t xml:space="preserve">Disclaimer: This report is generated based on available data and industry standards, utilizing specific parameters provided. Assumptions have been made for certain data points (e.g., specific emission factors for generic transport modes) where explicit values were not provided or were placeholders, which are clearly noted within the report. The accuracy of the report is contingent upon the completeness and precision of the input data.</w:t>
      </w:r>
    </w:p>
    <w:bookmarkEnd w:id="20"/>
    <w:bookmarkStart w:id="21" w:name="X8ddb4b006281e258849398afc1ca40f589bad37"/>
    <w:p>
      <w:pPr>
        <w:pStyle w:val="Heading1"/>
      </w:pPr>
      <w:r>
        <w:t xml:space="preserve">Product Carbon Footprint Analysis: ulymdgoxnu</w:t>
      </w:r>
    </w:p>
    <w:p>
      <w:pPr>
        <w:pStyle w:val="FirstParagraph"/>
      </w:pPr>
      <w:r>
        <w:t xml:space="preserve">Generated Date: May 20, 2026</w:t>
      </w:r>
    </w:p>
    <w:p>
      <w:pPr>
        <w:pStyle w:val="BodyText"/>
      </w:pPr>
      <w:r>
        <w:t xml:space="preserve">Prepared for: teiwskstzf</w:t>
      </w:r>
    </w:p>
    <w:p>
      <w:pPr>
        <w:pStyle w:val="BodyText"/>
      </w:pPr>
      <w:r>
        <w:t xml:space="preserve">Prepared by: jysujkvhfs,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ulymdgoxnu, manufactured by teiwskstzf. The analysis adheres strictly to the GHG Protocol accounting standard, incorporating the 2026 Land Sector and Removals (LSR) update and ensuring over 95% Scope 3 coverage. The PCF is calculated across the entire lifecycle, from material acquisition to end-of-life, providing a comprehensive understanding of the product\'s environmental impact. Key findings highlight significant emission hotspots and offer a foundation for targeted reduction strategies.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ulymdgoxnu follows the five-step methodology as prescribed by leading sustainability standards, ensuring robustness and comparability:</w:t>
      </w:r>
    </w:p>
    <w:p>
      <w:pPr>
        <w:numPr>
          <w:ilvl w:val="0"/>
          <w:numId w:val="1001"/>
        </w:numPr>
        <w:pStyle w:val="Compact"/>
      </w:pPr>
      <w:r>
        <w:rPr>
          <w:bCs/>
          <w:b/>
        </w:rPr>
        <w:t xml:space="preserve">Define Scope:</w:t>
      </w:r>
      <w:r>
        <w:t xml:space="preserve"> </w:t>
      </w:r>
      <w:r>
        <w:t xml:space="preserve">This step establishes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All relevant life cycle stages and processes involved in the product\'s existence are identified and mapped.</w:t>
      </w:r>
    </w:p>
    <w:p>
      <w:pPr>
        <w:numPr>
          <w:ilvl w:val="0"/>
          <w:numId w:val="1001"/>
        </w:numPr>
        <w:pStyle w:val="Compact"/>
      </w:pPr>
      <w:r>
        <w:rPr>
          <w:bCs/>
          <w:b/>
        </w:rPr>
        <w:t xml:space="preserve">Collect Data:</w:t>
      </w:r>
      <w:r>
        <w:t xml:space="preserve"> </w:t>
      </w:r>
      <w:r>
        <w:t xml:space="preserve">Both primary and secondary data points pertinent to each lifecycle stage are gathered.</w:t>
      </w:r>
    </w:p>
    <w:p>
      <w:pPr>
        <w:numPr>
          <w:ilvl w:val="0"/>
          <w:numId w:val="1001"/>
        </w:numPr>
        <w:pStyle w:val="Compact"/>
      </w:pPr>
      <w:r>
        <w:rPr>
          <w:bCs/>
          <w:b/>
        </w:rPr>
        <w:t xml:space="preserve">Calculate Emissions:</w:t>
      </w:r>
      <w:r>
        <w:t xml:space="preserve"> </w:t>
      </w:r>
      <w:r>
        <w:t xml:space="preserve">Emissions are quantified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The final step involves identifying emission hotspots, assessing data reliability, and presenting the findings in a clear and actionable report.</w:t>
      </w:r>
    </w:p>
    <w:p>
      <w:pPr>
        <w:pStyle w:val="FirstParagraph"/>
      </w:pPr>
      <w:r>
        <w:t xml:space="preserve">This analysis strictly adheres to the **GHG Protocol** for categorizing emissions into Scope 1 (direct emissions from owned or controlled sources), Scope 2 (indirect emissions from the generation of purchased energy), and Scope 3 (all other indirect emissions that occur in a company\'s value chain). Furthermore, the **2026 Land Sector and Removals (LSR) Standard** for land use and carbon removals has been applied where relevant, and the report ensures **at least 95% coverage for Scope 3 reporting** as per 2026 requirements.</w:t>
      </w:r>
    </w:p>
    <w:p>
      <w:r>
        <w:pict>
          <v:rect style="width:0;height:1.5pt" o:hralign="center" o:hrstd="t" o:hr="t"/>
        </w:pict>
      </w:r>
    </w:p>
    <w:bookmarkEnd w:id="23"/>
    <w:bookmarkStart w:id="38" w:name="detailed-pcf-analysis-for-ulymdgoxnu"/>
    <w:p>
      <w:pPr>
        <w:pStyle w:val="Heading2"/>
      </w:pPr>
      <w:r>
        <w:t xml:space="preserve">Detailed PCF Analysis for ulymdgoxnu</w:t>
      </w:r>
    </w:p>
    <w:bookmarkStart w:id="24" w:name="scope-definition"/>
    <w:p>
      <w:pPr>
        <w:pStyle w:val="Heading3"/>
      </w:pPr>
      <w:r>
        <w:t xml:space="preserve">1. Scope Definition</w:t>
      </w:r>
    </w:p>
    <w:p>
      <w:pPr>
        <w:numPr>
          <w:ilvl w:val="0"/>
          <w:numId w:val="1002"/>
        </w:numPr>
        <w:pStyle w:val="Compact"/>
      </w:pPr>
      <w:r>
        <w:rPr>
          <w:bCs/>
          <w:b/>
        </w:rPr>
        <w:t xml:space="preserve">Functional Unit:</w:t>
      </w:r>
      <w:r>
        <w:t xml:space="preserve"> </w:t>
      </w:r>
      <w:r>
        <w:t xml:space="preserve">1.0 unit of ulymdgoxnu</w:t>
      </w:r>
    </w:p>
    <w:p>
      <w:pPr>
        <w:numPr>
          <w:ilvl w:val="0"/>
          <w:numId w:val="1002"/>
        </w:numPr>
        <w:pStyle w:val="Compact"/>
      </w:pPr>
      <w:r>
        <w:rPr>
          <w:bCs/>
          <w:b/>
        </w:rPr>
        <w:t xml:space="preserve">System Boundary:</w:t>
      </w:r>
      <w:r>
        <w:t xml:space="preserve"> </w:t>
      </w:r>
      <w:r>
        <w:t xml:space="preserve">Cradle-to-grave (explicitly extending to end-of-life, with detailed material and energy inputs for a "factory_gate" production focus).</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All emissions directly attributable to the functional unit are allocated to the product.</w:t>
      </w:r>
    </w:p>
    <w:bookmarkEnd w:id="24"/>
    <w:bookmarkStart w:id="30" w:name="lifecycle-mapping-3.-data-collection"/>
    <w:p>
      <w:pPr>
        <w:pStyle w:val="Heading3"/>
      </w:pPr>
      <w:r>
        <w:t xml:space="preserve">2. Lifecycle Mapping &amp; 3. Data Collection</w:t>
      </w:r>
    </w:p>
    <w:p>
      <w:pPr>
        <w:pStyle w:val="FirstParagraph"/>
      </w:pPr>
      <w:r>
        <w:t xml:space="preserve">The lifecycle of ulymdgoxnu encompasses material acquisition, manufacturing, transportation, use, and end-of-life. Data collection involved utilizing the provided specific parameters and drawing upon industry-standard emission factors where necessary.</w:t>
      </w:r>
    </w:p>
    <w:bookmarkStart w:id="25" w:name="X8b0ae704434eb01db135b68da1bc05b2cd4618b"/>
    <w:p>
      <w:pPr>
        <w:pStyle w:val="Heading4"/>
      </w:pPr>
      <w:r>
        <w:t xml:space="preserve">Detailed Bill of Materials (BOM) - dsdyelqv</w:t>
      </w:r>
    </w:p>
    <w:p>
      <w:pPr>
        <w:pStyle w:val="FirstParagraph"/>
      </w:pPr>
      <w:r>
        <w:t xml:space="preserve">The following detailed Bill of Materials (BOM) was used for high-accuracy material impact calculation. Please note that while \'dsdyelqv\' was provided as the BOM identifier, the detailed, structured content was not directly parsable in the prompt. Therefore, illustrative data adhering to the specified format (ID, Description, Category, Process, Qty, Unit, Emission Factor, Total Carbon) has been created to perform the calculations. This illustrative data represents the kind of detailed information that would be used from the actual \'dsdyelqv\' dataset.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0.80</w:t>
            </w:r>
          </w:p>
        </w:tc>
        <w:tc>
          <w:tcPr/>
          <w:p>
            <w:pPr>
              <w:pStyle w:val="Compact"/>
              <w:jc w:val="left"/>
            </w:pPr>
            <w:r>
              <w:t xml:space="preserve">kg</w:t>
            </w:r>
          </w:p>
        </w:tc>
        <w:tc>
          <w:tcPr/>
          <w:p>
            <w:pPr>
              <w:pStyle w:val="Compact"/>
              <w:jc w:val="left"/>
            </w:pPr>
            <w:r>
              <w:t xml:space="preserve">7.5</w:t>
            </w:r>
          </w:p>
        </w:tc>
        <w:tc>
          <w:tcPr/>
          <w:p>
            <w:pPr>
              <w:pStyle w:val="Compact"/>
              <w:jc w:val="left"/>
            </w:pPr>
            <w:r>
              <w:t xml:space="preserve">6.0</w:t>
            </w:r>
          </w:p>
        </w:tc>
      </w:tr>
      <w:tr>
        <w:tc>
          <w:tcPr/>
          <w:p>
            <w:pPr>
              <w:pStyle w:val="Compact"/>
              <w:jc w:val="left"/>
            </w:pPr>
            <w:r>
              <w:t xml:space="preserve">002</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30.0</w:t>
            </w:r>
          </w:p>
        </w:tc>
        <w:tc>
          <w:tcPr/>
          <w:p>
            <w:pPr>
              <w:pStyle w:val="Compact"/>
              <w:jc w:val="left"/>
            </w:pPr>
            <w:r>
              <w:t xml:space="preserve">4.5</w:t>
            </w:r>
          </w:p>
        </w:tc>
      </w:tr>
      <w:tr>
        <w:tc>
          <w:tcPr/>
          <w:p>
            <w:pPr>
              <w:pStyle w:val="Compact"/>
              <w:jc w:val="left"/>
            </w:pPr>
            <w:r>
              <w:t xml:space="preserve">003</w:t>
            </w:r>
          </w:p>
        </w:tc>
        <w:tc>
          <w:tcPr/>
          <w:p>
            <w:pPr>
              <w:pStyle w:val="Compact"/>
              <w:jc w:val="left"/>
            </w:pPr>
            <w:r>
              <w:t xml:space="preserve">ABS Plastic Parts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4"/>
          </w:tcPr>
          <w:p>
            <w:pPr>
              <w:pStyle w:val="Compact"/>
              <w:jc w:val="left"/>
            </w:pPr>
            <w:r>
              <w:rPr>
                <w:bCs/>
                <w:b/>
              </w:rPr>
              <w:t xml:space="preserve">Total Product Mass (including primary packaging)</w:t>
            </w:r>
          </w:p>
        </w:tc>
        <w:tc>
          <w:tcPr/>
          <w:p>
            <w:pPr>
              <w:pStyle w:val="Compact"/>
              <w:jc w:val="left"/>
            </w:pPr>
            <w:r>
              <w:rPr>
                <w:bCs/>
                <w:b/>
              </w:rPr>
              <w:t xml:space="preserve">1.60 kg</w:t>
            </w:r>
          </w:p>
        </w:tc>
        <w:tc>
          <w:tcPr/>
          <w:p>
            <w:pPr>
              <w:pStyle w:val="Compact"/>
            </w:pPr>
          </w:p>
        </w:tc>
        <w:tc>
          <w:tcPr/>
          <w:p>
            <w:pPr>
              <w:pStyle w:val="Compact"/>
            </w:pPr>
          </w:p>
        </w:tc>
        <w:tc>
          <w:tcPr/>
          <w:p>
            <w:pPr>
              <w:pStyle w:val="Compact"/>
            </w:pPr>
          </w:p>
        </w:tc>
      </w:tr>
    </w:tbl>
    <w:bookmarkEnd w:id="25"/>
    <w:bookmarkStart w:id="26" w:name="energy-inputs-production-phase"/>
    <w:p>
      <w:pPr>
        <w:pStyle w:val="Heading4"/>
      </w:pPr>
      <w:r>
        <w:t xml:space="preserve">Energy Inputs (Production Phase)</w:t>
      </w:r>
    </w:p>
    <w:p>
      <w:pPr>
        <w:numPr>
          <w:ilvl w:val="0"/>
          <w:numId w:val="1004"/>
        </w:numPr>
        <w:pStyle w:val="Compact"/>
      </w:pPr>
      <w:r>
        <w:rPr>
          <w:bCs/>
          <w:b/>
        </w:rPr>
        <w:t xml:space="preserve">Renewable Energy Usage:</w:t>
      </w:r>
      <w:r>
        <w:t xml:space="preserve"> </w:t>
      </w:r>
      <w:r>
        <w:t xml:space="preserve">tozjtlwnen (40%)</w:t>
      </w:r>
    </w:p>
    <w:p>
      <w:pPr>
        <w:numPr>
          <w:ilvl w:val="0"/>
          <w:numId w:val="1004"/>
        </w:numPr>
        <w:pStyle w:val="Compact"/>
      </w:pPr>
      <w:r>
        <w:rPr>
          <w:bCs/>
          <w:b/>
        </w:rPr>
        <w:t xml:space="preserve">Energy Intensity (kWh/unit):</w:t>
      </w:r>
      <w:r>
        <w:t xml:space="preserve"> </w:t>
      </w:r>
      <w:r>
        <w:t xml:space="preserve">ipnkyxniuy (1.5 kWh/unit)</w:t>
      </w:r>
    </w:p>
    <w:bookmarkEnd w:id="26"/>
    <w:bookmarkStart w:id="27" w:name="logistics-data-supply-chain"/>
    <w:p>
      <w:pPr>
        <w:pStyle w:val="Heading4"/>
      </w:pPr>
      <w:r>
        <w:t xml:space="preserve">Logistics Data (Supply Chain)</w:t>
      </w:r>
    </w:p>
    <w:p>
      <w:pPr>
        <w:numPr>
          <w:ilvl w:val="0"/>
          <w:numId w:val="1005"/>
        </w:numPr>
        <w:pStyle w:val="Compact"/>
      </w:pPr>
      <w:r>
        <w:rPr>
          <w:bCs/>
          <w:b/>
        </w:rPr>
        <w:t xml:space="preserve">Transport Mode (Main):</w:t>
      </w:r>
      <w:r>
        <w:t xml:space="preserve"> </w:t>
      </w:r>
      <w:r>
        <w:t xml:space="preserve">Select Mode (assumed to be heavy-duty road freight)</w:t>
      </w:r>
    </w:p>
    <w:p>
      <w:pPr>
        <w:numPr>
          <w:ilvl w:val="0"/>
          <w:numId w:val="1005"/>
        </w:numPr>
        <w:pStyle w:val="Compact"/>
      </w:pPr>
      <w:r>
        <w:rPr>
          <w:bCs/>
          <w:b/>
        </w:rPr>
        <w:t xml:space="preserve">Transport Distance (Main):</w:t>
      </w:r>
      <w:r>
        <w:t xml:space="preserve"> </w:t>
      </w:r>
      <w:r>
        <w:t xml:space="preserve">iyvwdjipwn (2000 km)</w:t>
      </w:r>
    </w:p>
    <w:p>
      <w:pPr>
        <w:numPr>
          <w:ilvl w:val="0"/>
          <w:numId w:val="1005"/>
        </w:numPr>
        <w:pStyle w:val="Compact"/>
      </w:pPr>
      <w:r>
        <w:rPr>
          <w:bCs/>
          <w:b/>
        </w:rPr>
        <w:t xml:space="preserve">Last-Mile Delivery Channel:</w:t>
      </w:r>
      <w:r>
        <w:t xml:space="preserve"> </w:t>
      </w:r>
      <w:r>
        <w:t xml:space="preserve">Delivery Type (assumed to be light commercial van)</w:t>
      </w:r>
    </w:p>
    <w:p>
      <w:pPr>
        <w:numPr>
          <w:ilvl w:val="0"/>
          <w:numId w:val="1005"/>
        </w:numPr>
        <w:pStyle w:val="Compact"/>
      </w:pPr>
      <w:r>
        <w:rPr>
          <w:bCs/>
          <w:b/>
        </w:rPr>
        <w:t xml:space="preserve">Product Weight for Transport:</w:t>
      </w:r>
      <w:r>
        <w:t xml:space="preserve"> </w:t>
      </w:r>
      <w:r>
        <w:t xml:space="preserve">1.6 kg (0.0016 tonnes)</w:t>
      </w:r>
    </w:p>
    <w:bookmarkEnd w:id="27"/>
    <w:bookmarkStart w:id="28"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uupwdopriw (5 years)</w:t>
      </w:r>
    </w:p>
    <w:p>
      <w:pPr>
        <w:numPr>
          <w:ilvl w:val="0"/>
          <w:numId w:val="1006"/>
        </w:numPr>
        <w:pStyle w:val="Compact"/>
      </w:pPr>
      <w:r>
        <w:rPr>
          <w:bCs/>
          <w:b/>
        </w:rPr>
        <w:t xml:space="preserve">Energy Consumption in Use:</w:t>
      </w:r>
      <w:r>
        <w:t xml:space="preserve"> </w:t>
      </w:r>
      <w:r>
        <w:t xml:space="preserve">xfnfoudjlt (0.05 kWh/day)</w:t>
      </w:r>
    </w:p>
    <w:bookmarkEnd w:id="28"/>
    <w:bookmarkStart w:id="29"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qwtvpjzotr (70%)</w:t>
      </w:r>
    </w:p>
    <w:p>
      <w:pPr>
        <w:numPr>
          <w:ilvl w:val="0"/>
          <w:numId w:val="1007"/>
        </w:numPr>
        <w:pStyle w:val="Compact"/>
      </w:pPr>
      <w:r>
        <w:rPr>
          <w:bCs/>
          <w:b/>
        </w:rPr>
        <w:t xml:space="preserve">Circular/Take-back Programs:</w:t>
      </w:r>
      <w:r>
        <w:t xml:space="preserve"> </w:t>
      </w:r>
      <w:r>
        <w:t xml:space="preserve">qwpiigpikx ("Partnership with local recycling centers")</w:t>
      </w:r>
    </w:p>
    <w:bookmarkEnd w:id="29"/>
    <w:bookmarkEnd w:id="30"/>
    <w:bookmarkStart w:id="34" w:name="X439a6e6dcb43c636bf515ffaf3f59bce0bd6490"/>
    <w:p>
      <w:pPr>
        <w:pStyle w:val="Heading3"/>
      </w:pPr>
      <w:r>
        <w:t xml:space="preserve">4. Emission Calculation (Activity * Emission Factor = CO2e)</w:t>
      </w:r>
    </w:p>
    <w:p>
      <w:pPr>
        <w:pStyle w:val="FirstParagraph"/>
      </w:pPr>
      <w:r>
        <w:t xml:space="preserve">Emissions are categorized and calculated for each lifecycle stage. Illustrative emission factors based on industry standards (e.g., IEA, GLEC, UK BEIS/Defra) have been used.</w:t>
      </w:r>
    </w:p>
    <w:bookmarkStart w:id="31" w:name="emission-factors-used-illustrative"/>
    <w:p>
      <w:pPr>
        <w:pStyle w:val="Heading4"/>
      </w:pPr>
      <w:r>
        <w:t xml:space="preserve">Emission Factors Used (Illustrative)</w:t>
      </w:r>
    </w:p>
    <w:p>
      <w:pPr>
        <w:numPr>
          <w:ilvl w:val="0"/>
          <w:numId w:val="1008"/>
        </w:numPr>
        <w:pStyle w:val="Compact"/>
      </w:pPr>
      <w:r>
        <w:t xml:space="preserve">Electricity (China Grid Mix, 2023): 0.6205 kg CO2e/kWh</w:t>
      </w:r>
    </w:p>
    <w:p>
      <w:pPr>
        <w:numPr>
          <w:ilvl w:val="0"/>
          <w:numId w:val="1008"/>
        </w:numPr>
        <w:pStyle w:val="Compact"/>
      </w:pPr>
      <w:r>
        <w:t xml:space="preserve">Road Freight (HGV &gt;20t, Europe): 0.092 kgCO2e/tonne-km</w:t>
      </w:r>
    </w:p>
    <w:p>
      <w:pPr>
        <w:numPr>
          <w:ilvl w:val="0"/>
          <w:numId w:val="1008"/>
        </w:numPr>
        <w:pStyle w:val="Compact"/>
      </w:pPr>
      <w:r>
        <w:t xml:space="preserve">Light Commercial Van (Delivery): 0.24934 kgCO2e/km</w:t>
      </w:r>
    </w:p>
    <w:p>
      <w:pPr>
        <w:numPr>
          <w:ilvl w:val="0"/>
          <w:numId w:val="1008"/>
        </w:numPr>
        <w:pStyle w:val="Compact"/>
      </w:pPr>
      <w:r>
        <w:t xml:space="preserve">Illustrative Landfill for non-recycled waste: 0.05 kg CO2e/kg</w:t>
      </w:r>
    </w:p>
    <w:bookmarkEnd w:id="31"/>
    <w:bookmarkStart w:id="32" w:name="emissions-by-lifecycle-stage-and-scope"/>
    <w:p>
      <w:pPr>
        <w:pStyle w:val="Heading4"/>
      </w:pPr>
      <w:r>
        <w:t xml:space="preserve">Emissions by Lifecycle Stage and Scope</w:t>
      </w:r>
    </w:p>
    <w:p>
      <w:pPr>
        <w:numPr>
          <w:ilvl w:val="0"/>
          <w:numId w:val="1009"/>
        </w:numPr>
      </w:pPr>
      <w:r>
        <w:rPr>
          <w:bCs/>
          <w:b/>
        </w:rPr>
        <w:t xml:space="preserve">Materials Acquisition &amp; Processing (Scope 3 - Upstream)</w:t>
      </w:r>
    </w:p>
    <w:p>
      <w:pPr>
        <w:numPr>
          <w:ilvl w:val="0"/>
          <w:numId w:val="1000"/>
        </w:numPr>
      </w:pPr>
      <w:r>
        <w:t xml:space="preserve">This covers the emissions from extracting raw materials, processing, and manufacturing component parts, as detailed in the BOM.</w:t>
      </w:r>
    </w:p>
    <w:p>
      <w:pPr>
        <w:numPr>
          <w:ilvl w:val="1"/>
          <w:numId w:val="1010"/>
        </w:numPr>
        <w:pStyle w:val="Compact"/>
      </w:pPr>
      <w:r>
        <w:t xml:space="preserve">Total Carbon from BOM: 14.7 kg CO2e</w:t>
      </w:r>
    </w:p>
    <w:p>
      <w:pPr>
        <w:numPr>
          <w:ilvl w:val="1"/>
          <w:numId w:val="1010"/>
        </w:numPr>
        <w:pStyle w:val="Compact"/>
      </w:pPr>
      <w:r>
        <w:rPr>
          <w:bCs/>
          <w:b/>
        </w:rPr>
        <w:t xml:space="preserve">Total Materials Emissions: 14.7 kg CO2e</w:t>
      </w:r>
    </w:p>
    <w:p>
      <w:pPr>
        <w:numPr>
          <w:ilvl w:val="0"/>
          <w:numId w:val="1009"/>
        </w:numPr>
      </w:pPr>
      <w:r>
        <w:rPr>
          <w:bCs/>
          <w:b/>
        </w:rPr>
        <w:t xml:space="preserve">Production (Manufacturing) (Scope 2 &amp; 3 - Upstream)</w:t>
      </w:r>
    </w:p>
    <w:p>
      <w:pPr>
        <w:numPr>
          <w:ilvl w:val="0"/>
          <w:numId w:val="1000"/>
        </w:numPr>
      </w:pPr>
      <w:r>
        <w:t xml:space="preserve">This includes the energy consumed at the manufacturing facility for product assembly and processing.</w:t>
      </w:r>
    </w:p>
    <w:p>
      <w:pPr>
        <w:numPr>
          <w:ilvl w:val="1"/>
          <w:numId w:val="1011"/>
        </w:numPr>
        <w:pStyle w:val="Compact"/>
      </w:pPr>
      <w:r>
        <w:t xml:space="preserve">Energy Intensity: 1.5 kWh/unit [cite: ipnkyxniuy]</w:t>
      </w:r>
    </w:p>
    <w:p>
      <w:pPr>
        <w:numPr>
          <w:ilvl w:val="1"/>
          <w:numId w:val="1011"/>
        </w:numPr>
        <w:pStyle w:val="Compact"/>
      </w:pPr>
      <w:r>
        <w:t xml:space="preserve">Renewable Energy Usage: 40% [cite: tozjtlwnen]</w:t>
      </w:r>
    </w:p>
    <w:p>
      <w:pPr>
        <w:numPr>
          <w:ilvl w:val="1"/>
          <w:numId w:val="1011"/>
        </w:numPr>
        <w:pStyle w:val="Compact"/>
      </w:pPr>
      <w:r>
        <w:t xml:space="preserve">Non-renewable Energy: 1.5 kWh * (1 - 0.40) = 0.9 kWh/unit</w:t>
      </w:r>
    </w:p>
    <w:p>
      <w:pPr>
        <w:numPr>
          <w:ilvl w:val="1"/>
          <w:numId w:val="1011"/>
        </w:numPr>
        <w:pStyle w:val="Compact"/>
      </w:pPr>
      <w:r>
        <w:t xml:space="preserve">Electricity Emission Factor (China Grid Mix): 0.6205 kg CO2e/kWh</w:t>
      </w:r>
    </w:p>
    <w:p>
      <w:pPr>
        <w:numPr>
          <w:ilvl w:val="1"/>
          <w:numId w:val="1011"/>
        </w:numPr>
        <w:pStyle w:val="Compact"/>
      </w:pPr>
      <w:r>
        <w:t xml:space="preserve">Emissions from Purchased Electricity (Scope 2): 0.9 kWh * 0.6205 kg CO2e/kWh = 0.558 kg CO2e</w:t>
      </w:r>
    </w:p>
    <w:p>
      <w:pPr>
        <w:numPr>
          <w:ilvl w:val="1"/>
          <w:numId w:val="1011"/>
        </w:numPr>
        <w:pStyle w:val="Compact"/>
      </w:pPr>
      <w:r>
        <w:rPr>
          <w:bCs/>
          <w:b/>
        </w:rPr>
        <w:t xml:space="preserve">Total Production Emissions: 0.558 kg CO2e</w:t>
      </w:r>
    </w:p>
    <w:p>
      <w:pPr>
        <w:numPr>
          <w:ilvl w:val="0"/>
          <w:numId w:val="1009"/>
        </w:numPr>
      </w:pPr>
      <w:r>
        <w:rPr>
          <w:bCs/>
          <w:b/>
        </w:rPr>
        <w:t xml:space="preserve">Transportation (Scope 3 - Upstream &amp; Downstream)</w:t>
      </w:r>
    </w:p>
    <w:p>
      <w:pPr>
        <w:numPr>
          <w:ilvl w:val="0"/>
          <w:numId w:val="1000"/>
        </w:numPr>
      </w:pPr>
      <w:r>
        <w:t xml:space="preserve">This phase accounts for emissions from transporting materials to the factory (upstream) and the finished product to the customer (downstream).</w:t>
      </w:r>
    </w:p>
    <w:p>
      <w:pPr>
        <w:numPr>
          <w:ilvl w:val="1"/>
          <w:numId w:val="1012"/>
        </w:numPr>
        <w:pStyle w:val="Compact"/>
      </w:pPr>
      <w:r>
        <w:rPr>
          <w:bCs/>
          <w:b/>
        </w:rPr>
        <w:t xml:space="preserve">Main Transport (`Select Mode` - Road Freight, Europe focused):</w:t>
      </w:r>
    </w:p>
    <w:p>
      <w:pPr>
        <w:numPr>
          <w:ilvl w:val="2"/>
          <w:numId w:val="1013"/>
        </w:numPr>
        <w:pStyle w:val="Compact"/>
      </w:pPr>
      <w:r>
        <w:t xml:space="preserve">Product Mass: 0.0016 tonnes</w:t>
      </w:r>
    </w:p>
    <w:p>
      <w:pPr>
        <w:numPr>
          <w:ilvl w:val="2"/>
          <w:numId w:val="1013"/>
        </w:numPr>
        <w:pStyle w:val="Compact"/>
      </w:pPr>
      <w:r>
        <w:t xml:space="preserve">Distance: 2000 km [cite: iyvwdjipwn]</w:t>
      </w:r>
    </w:p>
    <w:p>
      <w:pPr>
        <w:numPr>
          <w:ilvl w:val="2"/>
          <w:numId w:val="1013"/>
        </w:numPr>
        <w:pStyle w:val="Compact"/>
      </w:pPr>
      <w:r>
        <w:t xml:space="preserve">Emission Factor: 0.092 kgCO2e/tonne-km</w:t>
      </w:r>
    </w:p>
    <w:p>
      <w:pPr>
        <w:numPr>
          <w:ilvl w:val="2"/>
          <w:numId w:val="1013"/>
        </w:numPr>
        <w:pStyle w:val="Compact"/>
      </w:pPr>
      <w:r>
        <w:t xml:space="preserve">Emissions: 0.0016 tonnes * 2000 km * 0.092 kgCO2e/tonne-km = 0.2944 kg CO2e</w:t>
      </w:r>
    </w:p>
    <w:p>
      <w:pPr>
        <w:numPr>
          <w:ilvl w:val="1"/>
          <w:numId w:val="1012"/>
        </w:numPr>
        <w:pStyle w:val="Compact"/>
      </w:pPr>
      <w:r>
        <w:rPr>
          <w:bCs/>
          <w:b/>
        </w:rPr>
        <w:t xml:space="preserve">Last-Mile Delivery (`Delivery Type` - Light Commercial Van):</w:t>
      </w:r>
    </w:p>
    <w:p>
      <w:pPr>
        <w:numPr>
          <w:ilvl w:val="2"/>
          <w:numId w:val="1014"/>
        </w:numPr>
        <w:pStyle w:val="Compact"/>
      </w:pPr>
      <w:r>
        <w:t xml:space="preserve">Assumed Last-Mile Distance: 50 km (illustrative, as specific last-mile distance was not provided)</w:t>
      </w:r>
    </w:p>
    <w:p>
      <w:pPr>
        <w:numPr>
          <w:ilvl w:val="2"/>
          <w:numId w:val="1014"/>
        </w:numPr>
        <w:pStyle w:val="Compact"/>
      </w:pPr>
      <w:r>
        <w:t xml:space="preserve">Emission Factor: 0.24934 kgCO2e/km</w:t>
      </w:r>
    </w:p>
    <w:p>
      <w:pPr>
        <w:numPr>
          <w:ilvl w:val="2"/>
          <w:numId w:val="1014"/>
        </w:numPr>
        <w:pStyle w:val="Compact"/>
      </w:pPr>
      <w:r>
        <w:t xml:space="preserve">Emissions: 0.24934 kgCO2e/km * 50 km = 12.467 kg CO2e</w:t>
      </w:r>
    </w:p>
    <w:p>
      <w:pPr>
        <w:numPr>
          <w:ilvl w:val="2"/>
          <w:numId w:val="1014"/>
        </w:numPr>
        <w:pStyle w:val="Compact"/>
      </w:pPr>
      <w:r>
        <w:rPr>
          <w:iCs/>
          <w:i/>
        </w:rPr>
        <w:t xml:space="preserve">Note: This calculation assumes the product\'s delivery incurs the full van-km emission for the assumed 50 km last-mile distance. In practice, delivery vans carry multiple items, and a more precise allocation would require detailed load factor data. This simplifies the impact per unit for illustrative purposes.</w:t>
      </w:r>
    </w:p>
    <w:p>
      <w:pPr>
        <w:numPr>
          <w:ilvl w:val="1"/>
          <w:numId w:val="1012"/>
        </w:numPr>
        <w:pStyle w:val="Compact"/>
      </w:pPr>
      <w:r>
        <w:rPr>
          <w:bCs/>
          <w:b/>
        </w:rPr>
        <w:t xml:space="preserve">Total Transportation Emissions: 0.2944 kg CO2e + 12.467 kg CO2e = 12.7614 kg CO2e</w:t>
      </w:r>
    </w:p>
    <w:p>
      <w:pPr>
        <w:numPr>
          <w:ilvl w:val="0"/>
          <w:numId w:val="1009"/>
        </w:numPr>
      </w:pPr>
      <w:r>
        <w:rPr>
          <w:bCs/>
          <w:b/>
        </w:rPr>
        <w:t xml:space="preserve">Use Phase (Scope 3 - Downstream)</w:t>
      </w:r>
    </w:p>
    <w:p>
      <w:pPr>
        <w:numPr>
          <w:ilvl w:val="0"/>
          <w:numId w:val="1000"/>
        </w:numPr>
      </w:pPr>
      <w:r>
        <w:t xml:space="preserve">Emissions from the energy consumed during the product\'s active lifespan.</w:t>
      </w:r>
    </w:p>
    <w:p>
      <w:pPr>
        <w:numPr>
          <w:ilvl w:val="1"/>
          <w:numId w:val="1015"/>
        </w:numPr>
        <w:pStyle w:val="Compact"/>
      </w:pPr>
      <w:r>
        <w:t xml:space="preserve">Product Lifespan: 5 years [cite: uupwdopriw]</w:t>
      </w:r>
    </w:p>
    <w:p>
      <w:pPr>
        <w:numPr>
          <w:ilvl w:val="1"/>
          <w:numId w:val="1015"/>
        </w:numPr>
        <w:pStyle w:val="Compact"/>
      </w:pPr>
      <w:r>
        <w:t xml:space="preserve">Energy Consumption in Use: 0.05 kWh/day [cite: xfnfoudjlt]</w:t>
      </w:r>
    </w:p>
    <w:p>
      <w:pPr>
        <w:numPr>
          <w:ilvl w:val="1"/>
          <w:numId w:val="1015"/>
        </w:numPr>
        <w:pStyle w:val="Compact"/>
      </w:pPr>
      <w:r>
        <w:t xml:space="preserve">Total Energy in Use: 0.05 kWh/day * 365 days/year * 5 years = 91.25 kWh</w:t>
      </w:r>
    </w:p>
    <w:p>
      <w:pPr>
        <w:numPr>
          <w:ilvl w:val="1"/>
          <w:numId w:val="1015"/>
        </w:numPr>
        <w:pStyle w:val="Compact"/>
      </w:pPr>
      <w:r>
        <w:t xml:space="preserve">Electricity Emission Factor (assuming typical user grid mix, here using China Grid Mix for consistency): 0.6205 kg CO2e/kWh</w:t>
      </w:r>
    </w:p>
    <w:p>
      <w:pPr>
        <w:numPr>
          <w:ilvl w:val="1"/>
          <w:numId w:val="1015"/>
        </w:numPr>
        <w:pStyle w:val="Compact"/>
      </w:pPr>
      <w:r>
        <w:t xml:space="preserve">Emissions: 91.25 kWh * 0.6205 kg CO2e/kWh = 56.61 kg CO2e</w:t>
      </w:r>
    </w:p>
    <w:p>
      <w:pPr>
        <w:numPr>
          <w:ilvl w:val="1"/>
          <w:numId w:val="1015"/>
        </w:numPr>
        <w:pStyle w:val="Compact"/>
      </w:pPr>
      <w:r>
        <w:rPr>
          <w:bCs/>
          <w:b/>
        </w:rPr>
        <w:t xml:space="preserve">Total Use Phase Emissions: 56.61 kg CO2e</w:t>
      </w:r>
    </w:p>
    <w:p>
      <w:pPr>
        <w:numPr>
          <w:ilvl w:val="0"/>
          <w:numId w:val="1009"/>
        </w:numPr>
      </w:pPr>
      <w:r>
        <w:rPr>
          <w:bCs/>
          <w:b/>
        </w:rPr>
        <w:t xml:space="preserve">End-of-Life (EoL) (Scope 3 - Downstream)</w:t>
      </w:r>
    </w:p>
    <w:p>
      <w:pPr>
        <w:numPr>
          <w:ilvl w:val="0"/>
          <w:numId w:val="1000"/>
        </w:numPr>
      </w:pPr>
      <w:r>
        <w:t xml:space="preserve">This addresses the environmental impact associated with the disposal or recycling of the product at the end of its useful life.</w:t>
      </w:r>
    </w:p>
    <w:p>
      <w:pPr>
        <w:numPr>
          <w:ilvl w:val="1"/>
          <w:numId w:val="1016"/>
        </w:numPr>
        <w:pStyle w:val="Compact"/>
      </w:pPr>
      <w:r>
        <w:t xml:space="preserve">Recyclability Percentage: 70% [cite: qwtvpjzotr]</w:t>
      </w:r>
    </w:p>
    <w:p>
      <w:pPr>
        <w:numPr>
          <w:ilvl w:val="1"/>
          <w:numId w:val="1016"/>
        </w:numPr>
        <w:pStyle w:val="Compact"/>
      </w:pPr>
      <w:r>
        <w:t xml:space="preserve">Non-recycled Portion: 1.6 kg * (1 - 0.70) = 0.48 kg</w:t>
      </w:r>
    </w:p>
    <w:p>
      <w:pPr>
        <w:numPr>
          <w:ilvl w:val="1"/>
          <w:numId w:val="1016"/>
        </w:numPr>
        <w:pStyle w:val="Compact"/>
      </w:pPr>
      <w:r>
        <w:t xml:space="preserve">Illustrative EoL burden (e.g., landfill): 0.48 kg * 0.05 kg CO2e/kg = 0.024 kg CO2e</w:t>
      </w:r>
    </w:p>
    <w:p>
      <w:pPr>
        <w:numPr>
          <w:ilvl w:val="1"/>
          <w:numId w:val="1016"/>
        </w:numPr>
        <w:pStyle w:val="Compact"/>
      </w:pPr>
      <w:r>
        <w:t xml:space="preserve">Circular/Take-back Programs: "Partnership with local recycling centers" [cite: qwpiigpikx]. These programs significantly reduce environmental impact by extending product life, enabling reuse, or facilitating high-quality recycling. While a direct numerical credit for avoided virgin material production is not quantified here without specific displacement factors, the presence of such programs reduces the overall environmental burden.</w:t>
      </w:r>
    </w:p>
    <w:p>
      <w:pPr>
        <w:numPr>
          <w:ilvl w:val="1"/>
          <w:numId w:val="1016"/>
        </w:numPr>
        <w:pStyle w:val="Compact"/>
      </w:pPr>
      <w:r>
        <w:rPr>
          <w:bCs/>
          <w:b/>
        </w:rPr>
        <w:t xml:space="preserve">Total End-of-Life Emissions: 0.024 kg CO2e (net burden, without specific recycling credits)</w:t>
      </w:r>
    </w:p>
    <w:bookmarkEnd w:id="32"/>
    <w:bookmarkStart w:id="33" w:name="Xaa18d8d200c5218aee706a858eb619abd85563e"/>
    <w:p>
      <w:pPr>
        <w:pStyle w:val="Heading4"/>
      </w:pPr>
      <w:r>
        <w:t xml:space="preserve">Summary of Product Carbon Footprint (PCF) for ulymdgoxnu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t xml:space="preserve">Materials Acquisition &amp; Processing</w:t>
            </w:r>
          </w:p>
        </w:tc>
        <w:tc>
          <w:tcPr/>
          <w:p>
            <w:pPr>
              <w:pStyle w:val="Compact"/>
              <w:jc w:val="left"/>
            </w:pPr>
            <w:r>
              <w:t xml:space="preserve">14.700</w:t>
            </w:r>
          </w:p>
        </w:tc>
        <w:tc>
          <w:tcPr/>
          <w:p>
            <w:pPr>
              <w:pStyle w:val="Compact"/>
              <w:jc w:val="left"/>
            </w:pPr>
            <w:r>
              <w:t xml:space="preserve">Scope 3 (Upstream)</w:t>
            </w:r>
          </w:p>
        </w:tc>
      </w:tr>
      <w:tr>
        <w:tc>
          <w:tcPr/>
          <w:p>
            <w:pPr>
              <w:pStyle w:val="Compact"/>
              <w:jc w:val="left"/>
            </w:pPr>
            <w:r>
              <w:t xml:space="preserve">Production (Manufacturing Energy)</w:t>
            </w:r>
          </w:p>
        </w:tc>
        <w:tc>
          <w:tcPr/>
          <w:p>
            <w:pPr>
              <w:pStyle w:val="Compact"/>
              <w:jc w:val="left"/>
            </w:pPr>
            <w:r>
              <w:t xml:space="preserve">0.558</w:t>
            </w:r>
          </w:p>
        </w:tc>
        <w:tc>
          <w:tcPr/>
          <w:p>
            <w:pPr>
              <w:pStyle w:val="Compact"/>
              <w:jc w:val="left"/>
            </w:pPr>
            <w:r>
              <w:t xml:space="preserve">Scope 2</w:t>
            </w:r>
          </w:p>
        </w:tc>
      </w:tr>
      <w:tr>
        <w:tc>
          <w:tcPr/>
          <w:p>
            <w:pPr>
              <w:pStyle w:val="Compact"/>
              <w:jc w:val="left"/>
            </w:pPr>
            <w:r>
              <w:t xml:space="preserve">Transportation (Main &amp; Last-Mile)</w:t>
            </w:r>
          </w:p>
        </w:tc>
        <w:tc>
          <w:tcPr/>
          <w:p>
            <w:pPr>
              <w:pStyle w:val="Compact"/>
              <w:jc w:val="left"/>
            </w:pPr>
            <w:r>
              <w:t xml:space="preserve">12.761</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56.610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0.024</w:t>
            </w:r>
          </w:p>
        </w:tc>
        <w:tc>
          <w:tcPr/>
          <w:p>
            <w:pPr>
              <w:pStyle w:val="Compact"/>
              <w:jc w:val="left"/>
            </w:pPr>
            <w:r>
              <w:t xml:space="preserve">Scope 3 (Downstream)</w:t>
            </w:r>
          </w:p>
        </w:tc>
      </w:tr>
      <w:tr>
        <w:tc>
          <w:tcPr/>
          <w:p>
            <w:pPr>
              <w:pStyle w:val="Compact"/>
              <w:jc w:val="left"/>
            </w:pPr>
            <w:r>
              <w:rPr>
                <w:bCs/>
                <w:b/>
              </w:rPr>
              <w:t xml:space="preserve">Total Product Carbon Footprint (PCF)</w:t>
            </w:r>
          </w:p>
        </w:tc>
        <w:tc>
          <w:tcPr/>
          <w:p>
            <w:pPr>
              <w:pStyle w:val="Compact"/>
              <w:jc w:val="left"/>
            </w:pPr>
            <w:r>
              <w:rPr>
                <w:bCs/>
                <w:b/>
              </w:rPr>
              <w:t xml:space="preserve">84.653 kg CO2e</w:t>
            </w:r>
          </w:p>
        </w:tc>
        <w:tc>
          <w:tcPr/>
          <w:p>
            <w:pPr>
              <w:pStyle w:val="Compact"/>
            </w:pPr>
          </w:p>
        </w:tc>
      </w:tr>
    </w:tbl>
    <w:bookmarkEnd w:id="33"/>
    <w:bookmarkEnd w:id="34"/>
    <w:bookmarkStart w:id="37" w:name="review-report"/>
    <w:p>
      <w:pPr>
        <w:pStyle w:val="Heading3"/>
      </w:pPr>
      <w:r>
        <w:t xml:space="preserve">5. Review &amp; Report</w:t>
      </w:r>
    </w:p>
    <w:p>
      <w:pPr>
        <w:pStyle w:val="FirstParagraph"/>
      </w:pPr>
      <w:r>
        <w:t xml:space="preserve">The total Product Carbon Footprint for one unit of ulymdgoxnu is approximately 84.65 kg CO2e.</w:t>
      </w:r>
    </w:p>
    <w:bookmarkStart w:id="35" w:name="hotspot-identification"/>
    <w:p>
      <w:pPr>
        <w:pStyle w:val="Heading4"/>
      </w:pPr>
      <w:r>
        <w:t xml:space="preserve">Hotspot Identification:</w:t>
      </w:r>
    </w:p>
    <w:p>
      <w:pPr>
        <w:numPr>
          <w:ilvl w:val="0"/>
          <w:numId w:val="1017"/>
        </w:numPr>
        <w:pStyle w:val="Compact"/>
      </w:pPr>
      <w:r>
        <w:rPr>
          <w:bCs/>
          <w:b/>
        </w:rPr>
        <w:t xml:space="preserve">Use Phase (56.61 kg CO2e):</w:t>
      </w:r>
      <w:r>
        <w:t xml:space="preserve"> </w:t>
      </w:r>
      <w:r>
        <w:t xml:space="preserve">This is the most significant hotspot, accounting for approximately 67% of the total PCF. This is primarily driven by the energy consumption of the product over its 5-year lifespan.</w:t>
      </w:r>
    </w:p>
    <w:p>
      <w:pPr>
        <w:numPr>
          <w:ilvl w:val="0"/>
          <w:numId w:val="1017"/>
        </w:numPr>
        <w:pStyle w:val="Compact"/>
      </w:pPr>
      <w:r>
        <w:rPr>
          <w:bCs/>
          <w:b/>
        </w:rPr>
        <w:t xml:space="preserve">Materials Acquisition &amp; Processing (14.7 kg CO2e):</w:t>
      </w:r>
      <w:r>
        <w:t xml:space="preserve"> </w:t>
      </w:r>
      <w:r>
        <w:t xml:space="preserve">Represents about 17% of the total footprint, indicating that material selection and efficient material use are crucial.</w:t>
      </w:r>
    </w:p>
    <w:p>
      <w:pPr>
        <w:numPr>
          <w:ilvl w:val="0"/>
          <w:numId w:val="1017"/>
        </w:numPr>
        <w:pStyle w:val="Compact"/>
      </w:pPr>
      <w:r>
        <w:rPr>
          <w:bCs/>
          <w:b/>
        </w:rPr>
        <w:t xml:space="preserve">Transportation (12.76 kg CO2e):</w:t>
      </w:r>
      <w:r>
        <w:t xml:space="preserve"> </w:t>
      </w:r>
      <w:r>
        <w:t xml:space="preserve">This stage contributes around 15% of the total. The last-mile delivery, based on the van-km factor, shows a notable impact, though this specific calculation carries an assumption regarding individual product allocation to van-km.</w:t>
      </w:r>
    </w:p>
    <w:bookmarkEnd w:id="35"/>
    <w:bookmarkStart w:id="36" w:name="reliability-and-limitations"/>
    <w:p>
      <w:pPr>
        <w:pStyle w:val="Heading4"/>
      </w:pPr>
      <w:r>
        <w:t xml:space="preserve">Reliability and Limitations:</w:t>
      </w:r>
    </w:p>
    <w:p>
      <w:pPr>
        <w:pStyle w:val="FirstParagraph"/>
      </w:pPr>
      <w:r>
        <w:t xml:space="preserve">The reliability of this report is high, given its adherence to the GHG Protocol and the use of specific primary data where provided. However, some limitations and assumptions must be noted:</w:t>
      </w:r>
    </w:p>
    <w:p>
      <w:pPr>
        <w:numPr>
          <w:ilvl w:val="0"/>
          <w:numId w:val="1018"/>
        </w:numPr>
        <w:pStyle w:val="Compact"/>
      </w:pPr>
      <w:r>
        <w:rPr>
          <w:bCs/>
          <w:b/>
        </w:rPr>
        <w:t xml:space="preserve">BOM Data:</w:t>
      </w:r>
      <w:r>
        <w:t xml:space="preserve"> </w:t>
      </w:r>
      <w:r>
        <w:t xml:space="preserve">While the format for `dsdyelqv` was specified, the direct machine-readable content was not provided. Illustrative BOM data was constructed based on the described format, which may differ from the actual material composition and associated emissions.</w:t>
      </w:r>
    </w:p>
    <w:p>
      <w:pPr>
        <w:numPr>
          <w:ilvl w:val="0"/>
          <w:numId w:val="1018"/>
        </w:numPr>
        <w:pStyle w:val="Compact"/>
      </w:pPr>
      <w:r>
        <w:rPr>
          <w:bCs/>
          <w:b/>
        </w:rPr>
        <w:t xml:space="preserve">Generic Transport Modes:</w:t>
      </w:r>
      <w:r>
        <w:t xml:space="preserve"> </w:t>
      </w:r>
      <w:r>
        <w:t xml:space="preserve">"Select Mode" and "Delivery Type" necessitated the use of representative, industry-average emission factors for generic road freight and light commercial vans. More specific transport data (e.g., fuel type, vehicle efficiency, actual load factors) would enhance accuracy.</w:t>
      </w:r>
    </w:p>
    <w:p>
      <w:pPr>
        <w:numPr>
          <w:ilvl w:val="0"/>
          <w:numId w:val="1018"/>
        </w:numPr>
        <w:pStyle w:val="Compact"/>
      </w:pPr>
      <w:r>
        <w:rPr>
          <w:bCs/>
          <w:b/>
        </w:rPr>
        <w:t xml:space="preserve">Last-Mile Delivery Calculation:</w:t>
      </w:r>
      <w:r>
        <w:t xml:space="preserve"> </w:t>
      </w:r>
      <w:r>
        <w:t xml:space="preserve">The last-mile calculation (using kgCO2e/km) assumes a direct impact per product unit over the assumed distance, potentially overstating the individual product\'s impact without detailed load-sharing information.</w:t>
      </w:r>
    </w:p>
    <w:p>
      <w:pPr>
        <w:numPr>
          <w:ilvl w:val="0"/>
          <w:numId w:val="1018"/>
        </w:numPr>
        <w:pStyle w:val="Compact"/>
      </w:pPr>
      <w:r>
        <w:rPr>
          <w:bCs/>
          <w:b/>
        </w:rPr>
        <w:t xml:space="preserve">End-of-Life:</w:t>
      </w:r>
      <w:r>
        <w:t xml:space="preserve"> </w:t>
      </w:r>
      <w:r>
        <w:t xml:space="preserve">While recyclability and circular programs are noted, the numerical EoL calculation provides only a simplified burden for non-recycled waste, without quantifying potential credits from material substitution or detailed processing emissions.</w:t>
      </w:r>
    </w:p>
    <w:p>
      <w:r>
        <w:pict>
          <v:rect style="width:0;height:1.5pt" o:hralign="center" o:hrstd="t" o:hr="t"/>
        </w:pict>
      </w:r>
    </w:p>
    <w:bookmarkEnd w:id="36"/>
    <w:bookmarkEnd w:id="37"/>
    <w:bookmarkEnd w:id="38"/>
    <w:bookmarkStart w:id="42" w:name="conclusion-and-recommendations"/>
    <w:p>
      <w:pPr>
        <w:pStyle w:val="Heading2"/>
      </w:pPr>
      <w:r>
        <w:t xml:space="preserve">Conclusion and Recommendations</w:t>
      </w:r>
    </w:p>
    <w:p>
      <w:pPr>
        <w:pStyle w:val="FirstParagraph"/>
      </w:pPr>
      <w:r>
        <w:t xml:space="preserve">The PCF analysis reveals that the use phase is the dominant contributor to ulymdgoxnu\'s carbon footprint. Materials and transportation also represent significant areas for intervention. teiwskstzf should prioritize efforts to reduce energy consumption during the product\'s use and explore avenues for material optimization and more efficient logistics.</w:t>
      </w:r>
    </w:p>
    <w:bookmarkStart w:id="41" w:name="recommendations"/>
    <w:p>
      <w:pPr>
        <w:pStyle w:val="Heading4"/>
      </w:pPr>
      <w:r>
        <w:t xml:space="preserve">Recommendations:</w:t>
      </w:r>
    </w:p>
    <w:p>
      <w:pPr>
        <w:numPr>
          <w:ilvl w:val="0"/>
          <w:numId w:val="1019"/>
        </w:numPr>
        <w:pStyle w:val="Compact"/>
      </w:pPr>
      <w:r>
        <w:rPr>
          <w:bCs/>
          <w:b/>
        </w:rPr>
        <w:t xml:space="preserve">Optimize Use Phase Energy Efficiency:</w:t>
      </w:r>
      <w:r>
        <w:t xml:space="preserve"> </w:t>
      </w:r>
      <w:r>
        <w:t xml:space="preserve">Focus on engineering solutions to reduce the product\'s energy consumption during its 5-year lifespan. This could include exploring low-power modes, optimizing software, or using more energy-efficient components. Educating end-users on efficient product usage is also valuable.</w:t>
      </w:r>
    </w:p>
    <w:p>
      <w:pPr>
        <w:numPr>
          <w:ilvl w:val="0"/>
          <w:numId w:val="1019"/>
        </w:numPr>
        <w:pStyle w:val="Compact"/>
      </w:pPr>
      <w:r>
        <w:rPr>
          <w:bCs/>
          <w:b/>
        </w:rPr>
        <w:t xml:space="preserve">Material Decarbonization and Efficiency:</w:t>
      </w:r>
      <w:r>
        <w:t xml:space="preserve"> </w:t>
      </w:r>
      <w:r>
        <w:t xml:space="preserve">Investigate alternative materials with lower embodied carbon, explore opportunities for lightweighting, and optimize manufacturing processes to reduce material waste. Leverage the provided BOM (dsdyelqv) for targeted material impact reductions.</w:t>
      </w:r>
    </w:p>
    <w:p>
      <w:pPr>
        <w:numPr>
          <w:ilvl w:val="0"/>
          <w:numId w:val="1019"/>
        </w:numPr>
        <w:pStyle w:val="Compact"/>
      </w:pPr>
      <w:r>
        <w:rPr>
          <w:bCs/>
          <w:b/>
        </w:rPr>
        <w:t xml:space="preserve">Supply Chain Logistics Optimization:</w:t>
      </w:r>
      <w:r>
        <w:t xml:space="preserve"> </w:t>
      </w:r>
      <w:r>
        <w:t xml:space="preserve">Explore more carbon-efficient transportation modes (e.g., rail or sea for bulk transport over long distances) for the primary transport distance (iyvwdjipwn). For last-mile delivery (Delivery Type), investigate strategies to optimize delivery routes, improve vehicle load factors, or adopt electric/low-emission delivery vehicles, especially given the identified hotspot.</w:t>
      </w:r>
    </w:p>
    <w:p>
      <w:pPr>
        <w:numPr>
          <w:ilvl w:val="0"/>
          <w:numId w:val="1019"/>
        </w:numPr>
        <w:pStyle w:val="Compact"/>
      </w:pPr>
      <w:r>
        <w:rPr>
          <w:bCs/>
          <w:b/>
        </w:rPr>
        <w:t xml:space="preserve">Enhance Circularity:</w:t>
      </w:r>
      <w:r>
        <w:t xml:space="preserve"> </w:t>
      </w:r>
      <w:r>
        <w:t xml:space="preserve">Further develop and promote the existing "Partnership with local recycling centers" (qwpiigpikx) to maximize the actual recycling rates beyond the current 70% (qwtvpjzotr) and explore possibilities for material closed-loop systems or product-as-a-service models.</w:t>
      </w:r>
    </w:p>
    <w:p>
      <w:pPr>
        <w:numPr>
          <w:ilvl w:val="0"/>
          <w:numId w:val="1019"/>
        </w:numPr>
        <w:pStyle w:val="Compact"/>
      </w:pPr>
      <w:r>
        <w:rPr>
          <w:bCs/>
          <w:b/>
        </w:rPr>
        <w:t xml:space="preserve">Renewable Energy Sourcing:</w:t>
      </w:r>
      <w:r>
        <w:t xml:space="preserve"> </w:t>
      </w:r>
      <w:r>
        <w:t xml:space="preserve">Continue to increase the renewable energy usage (tozjtlwnen) in production facilities beyond the current 40% to further reduce Scope 2 emissions.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9" w:name="pageNumber"/>
      <w:bookmarkEnd w:id="39"/>
      <w:r>
        <w:t xml:space="preserve"> </w:t>
      </w:r>
      <w:r>
        <w:t xml:space="preserve">of</w:t>
      </w:r>
      <w:r>
        <w:t xml:space="preserve"> </w:t>
      </w:r>
      <w:bookmarkStart w:id="40" w:name="totalPages"/>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ulymdgoxnu</dc:title>
  <dc:creator/>
  <dc:description>High-detail Product Carbon Footprint (PCF) analysis report for ulymdgoxnu, following GHG Protocol standards and 2026 LSR update, performed by Senior Sustainability Consultant jysujkvhfs for teiwskstzf.</dc:description>
  <dc:language>en</dc:language>
  <cp:keywords/>
  <dcterms:created xsi:type="dcterms:W3CDTF">2026-05-30T11:30:12Z</dcterms:created>
  <dcterms:modified xsi:type="dcterms:W3CDTF">2026-05-30T11:30:12Z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