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ukrvitsoqg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ukrvitsoqg</w:t>
      </w:r>
    </w:p>
    <w:p>
      <w:pPr>
        <w:pStyle w:val="BodyText"/>
      </w:pPr>
      <w:r>
        <w:rPr>
          <w:bCs/>
          <w:b/>
        </w:rPr>
        <w:t xml:space="preserve">Company Name:</w:t>
      </w:r>
      <w:r>
        <w:t xml:space="preserve"> </w:t>
      </w:r>
      <w:r>
        <w:t xml:space="preserve">yvwqkhmegn</w:t>
      </w:r>
    </w:p>
    <w:p>
      <w:pPr>
        <w:pStyle w:val="BodyText"/>
      </w:pPr>
      <w:r>
        <w:rPr>
          <w:bCs/>
          <w:b/>
        </w:rPr>
        <w:t xml:space="preserve">Senior Sustainability Consultant:</w:t>
      </w:r>
      <w:r>
        <w:t xml:space="preserve"> </w:t>
      </w:r>
      <w:r>
        <w:t xml:space="preserve">pghvuopvyk</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Actual values may vary based on specific operational details and up-to-date emission factors.</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ukrvitsoqg</w:t>
      </w:r>
      <w:r>
        <w:t xml:space="preserve">, manufactured by</w:t>
      </w:r>
      <w:r>
        <w:t xml:space="preserve"> </w:t>
      </w:r>
      <w:r>
        <w:rPr>
          <w:bCs/>
          <w:b/>
        </w:rPr>
        <w:t xml:space="preserve">yvwqkhmegn</w:t>
      </w:r>
      <w:r>
        <w:t xml:space="preserve">. Conducted by</w:t>
      </w:r>
      <w:r>
        <w:t xml:space="preserve"> </w:t>
      </w:r>
      <w:r>
        <w:rPr>
          <w:bCs/>
          <w:b/>
        </w:rPr>
        <w:t xml:space="preserve">pghvuopvyk</w:t>
      </w:r>
      <w:r>
        <w:t xml:space="preserve">, Senior Sustainability Consultant, this analysis adheres strictly to the GHG Protocol accounting standards, including the 2026 Land Sector and Removals (LSR) update and ensuring comprehensive Scope 3 coverage. The assessment covers the entire product lifecycle from raw material extraction to end-of-life, providing a detailed breakdown of emissions across various stages. The aim is to identify key emission hotspots and inform strategic interventions for reducing the environmental impact of ukrvitsoqg.</w:t>
      </w:r>
    </w:p>
    <w:bookmarkEnd w:id="22"/>
    <w:p>
      <w:r>
        <w:pict>
          <v:rect style="width:0;height:1.5pt" o:hralign="center" o:hrstd="t" o:hr="t"/>
        </w:pict>
      </w:r>
    </w:p>
    <w:bookmarkStart w:id="23" w:name="define-scope"/>
    <w:p>
      <w:pPr>
        <w:pStyle w:val="Heading2"/>
      </w:pPr>
      <w:r>
        <w:t xml:space="preserve">1. Define Scope</w:t>
      </w:r>
    </w:p>
    <w:p>
      <w:pPr>
        <w:pStyle w:val="FirstParagraph"/>
      </w:pPr>
      <w:r>
        <w:t xml:space="preserve">The initial phase defines the boundaries and parameters for the PCF analysis, ensuring consistency and comparability.</w:t>
      </w:r>
    </w:p>
    <w:p>
      <w:pPr>
        <w:numPr>
          <w:ilvl w:val="0"/>
          <w:numId w:val="1001"/>
        </w:numPr>
        <w:pStyle w:val="Compact"/>
      </w:pPr>
      <w:r>
        <w:rPr>
          <w:bCs/>
          <w:b/>
        </w:rPr>
        <w:t xml:space="preserve">Functional Unit:</w:t>
      </w:r>
      <w:r>
        <w:t xml:space="preserve"> </w:t>
      </w:r>
      <w:r>
        <w:t xml:space="preserve">The study assesses the carbon footprint of</w:t>
      </w:r>
      <w:r>
        <w:t xml:space="preserve"> </w:t>
      </w:r>
      <w:r>
        <w:rPr>
          <w:bCs/>
          <w:b/>
        </w:rPr>
        <w:t xml:space="preserve">1.0 unit</w:t>
      </w:r>
      <w:r>
        <w:t xml:space="preserve"> </w:t>
      </w:r>
      <w:r>
        <w:t xml:space="preserve">of ukrvitsoqg.</w:t>
      </w:r>
    </w:p>
    <w:p>
      <w:pPr>
        <w:numPr>
          <w:ilvl w:val="0"/>
          <w:numId w:val="1001"/>
        </w:numPr>
        <w:pStyle w:val="Compact"/>
      </w:pPr>
      <w:r>
        <w:rPr>
          <w:bCs/>
          <w:b/>
        </w:rPr>
        <w:t xml:space="preserve">System Boundary:</w:t>
      </w:r>
      <w:r>
        <w:t xml:space="preserve"> </w:t>
      </w:r>
      <w:r>
        <w:t xml:space="preserve">A "factory_gate" system boundary is applied, encompassing all emissions from raw material acquisition, transportation to the factory, manufacturing processes, and packaging, up to the point the product leaves the factory gate. For comprehensive analysis, relevant downstream (use phase) and end-of-life impacts are also calculated and reported under Scope 3, aligning with GHG Protocol requirements for full lifecycle understanding.</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primary supply chain focus on</w:t>
      </w:r>
      <w:r>
        <w:t xml:space="preserve"> </w:t>
      </w:r>
      <w:r>
        <w:rPr>
          <w:bCs/>
          <w:b/>
        </w:rPr>
        <w:t xml:space="preserve">Europe</w:t>
      </w:r>
      <w:r>
        <w:t xml:space="preserve">. This dual focus considers both manufacturing emissions and the significant transport impacts associated with global supply chains.</w:t>
      </w:r>
    </w:p>
    <w:p>
      <w:pPr>
        <w:numPr>
          <w:ilvl w:val="0"/>
          <w:numId w:val="1001"/>
        </w:numPr>
        <w:pStyle w:val="Compact"/>
      </w:pPr>
      <w:r>
        <w:rPr>
          <w:bCs/>
          <w:b/>
        </w:rPr>
        <w:t xml:space="preserve">Accounting Standard:</w:t>
      </w:r>
      <w:r>
        <w:t xml:space="preserve"> </w:t>
      </w:r>
      <w:r>
        <w:t xml:space="preserve">The analysis strictly follows the</w:t>
      </w:r>
      <w:r>
        <w:t xml:space="preserve"> </w:t>
      </w:r>
      <w:r>
        <w:rPr>
          <w:bCs/>
          <w:b/>
        </w:rPr>
        <w:t xml:space="preserve">GHG Protocol</w:t>
      </w:r>
      <w:r>
        <w:t xml:space="preserve"> </w:t>
      </w:r>
      <w:r>
        <w:t xml:space="preserve">standards for corporate value chain (Scope 3) and product life cycle accounting. Emissions are categorized into Scope 1 (direct emissions), Scope 2 (purchased energy), and Scope 3 (all other indirect emissions in the value chain).</w:t>
      </w:r>
    </w:p>
    <w:p>
      <w:pPr>
        <w:numPr>
          <w:ilvl w:val="0"/>
          <w:numId w:val="1001"/>
        </w:numPr>
        <w:pStyle w:val="Compact"/>
      </w:pPr>
      <w:r>
        <w:rPr>
          <w:bCs/>
          <w:b/>
        </w:rPr>
        <w:t xml:space="preserve">Allocation:</w:t>
      </w:r>
      <w:r>
        <w:t xml:space="preserve"> </w:t>
      </w:r>
      <w:r>
        <w:t xml:space="preserve">For multi-output processes or shared facilities, an appropriate allocation method (e.g., mass-based, economic, or physical relationship) is used to attribute environmental burdens to ukrvitsoqg. Given the absence of specific co-product data, a direct attribution approach is assumed for the manufacturing processes directly related to ukrvitsoqg.</w:t>
      </w:r>
    </w:p>
    <w:bookmarkEnd w:id="23"/>
    <w:p>
      <w:r>
        <w:pict>
          <v:rect style="width:0;height:1.5pt" o:hralign="center" o:hrstd="t" o:hr="t"/>
        </w:pict>
      </w:r>
    </w:p>
    <w:bookmarkStart w:id="29" w:name="map-lifecycle-3.-collect-data"/>
    <w:p>
      <w:pPr>
        <w:pStyle w:val="Heading2"/>
      </w:pPr>
      <w:r>
        <w:t xml:space="preserve">2. Map Lifecycle &amp; 3. Collect Data</w:t>
      </w:r>
    </w:p>
    <w:p>
      <w:pPr>
        <w:pStyle w:val="FirstParagraph"/>
      </w:pPr>
      <w:r>
        <w:t xml:space="preserve">This section details the lifecycle stages and the specific data collected for each, forming the basis of the Life Cycle Inventory (LCI). Illustrative data is used for calculation demonstrations where specific values were provided as placeholders.</w:t>
      </w:r>
    </w:p>
    <w:bookmarkStart w:id="24" w:name="Xefa4cf35c89b86ae0c0d82587b0108830ffbf6e"/>
    <w:p>
      <w:pPr>
        <w:pStyle w:val="Heading3"/>
      </w:pPr>
      <w:r>
        <w:t xml:space="preserve">Detailed Bill of Materials (BOM) Analysis: fwkeydgw (Illustrative Data)</w:t>
      </w:r>
    </w:p>
    <w:p>
      <w:pPr>
        <w:pStyle w:val="FirstParagraph"/>
      </w:pPr>
      <w:r>
        <w:t xml:space="preserve">The detailed Bill of Materials (BOM) is critical for accurately assessing the material-specific carbon impact. The provided BOM (fwkeydgw) informs the upstream emissions from raw material extraction and processing. The following table provides illustrative data based on the described BOM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Housing</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9.0</w:t>
            </w:r>
          </w:p>
        </w:tc>
        <w:tc>
          <w:tcPr/>
          <w:p>
            <w:pPr>
              <w:pStyle w:val="Compact"/>
              <w:jc w:val="left"/>
            </w:pPr>
            <w:r>
              <w:t xml:space="preserve">4.50</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Granule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Primary Production (Mining &amp; 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0.30</w:t>
            </w:r>
          </w:p>
        </w:tc>
      </w:tr>
      <w:tr>
        <w:tc>
          <w:tcPr/>
          <w:p>
            <w:pPr>
              <w:pStyle w:val="Compact"/>
              <w:jc w:val="left"/>
            </w:pPr>
            <w:r>
              <w:t xml:space="preserve">M006</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20.0</w:t>
            </w:r>
          </w:p>
        </w:tc>
        <w:tc>
          <w:tcPr/>
          <w:p>
            <w:pPr>
              <w:pStyle w:val="Compact"/>
              <w:jc w:val="left"/>
            </w:pPr>
            <w:r>
              <w:t xml:space="preserve">3.00</w:t>
            </w:r>
          </w:p>
        </w:tc>
      </w:tr>
      <w:tr>
        <w:tc>
          <w:tcPr>
            <w:gridSpan w:val="7"/>
          </w:tcPr>
          <w:p>
            <w:pPr>
              <w:pStyle w:val="Compact"/>
              <w:jc w:val="right"/>
            </w:pPr>
            <w:r>
              <w:rPr>
                <w:bCs/>
                <w:b/>
              </w:rPr>
              <w:t xml:space="preserve">Subtotal Material Emissions (Scope 3 - Upstream)</w:t>
            </w:r>
          </w:p>
        </w:tc>
        <w:tc>
          <w:tcPr/>
          <w:p>
            <w:pPr>
              <w:pStyle w:val="Compact"/>
              <w:jc w:val="left"/>
            </w:pPr>
            <w:r>
              <w:rPr>
                <w:bCs/>
                <w:b/>
              </w:rPr>
              <w:t xml:space="preserve">11.45</w:t>
            </w:r>
          </w:p>
        </w:tc>
      </w:tr>
    </w:tbl>
    <w:bookmarkEnd w:id="24"/>
    <w:bookmarkStart w:id="25" w:name="production-phase-data"/>
    <w:p>
      <w:pPr>
        <w:pStyle w:val="Heading3"/>
      </w:pPr>
      <w:r>
        <w:t xml:space="preserve">Production Phase Data:</w:t>
      </w:r>
    </w:p>
    <w:p>
      <w:pPr>
        <w:pStyle w:val="FirstParagraph"/>
      </w:pPr>
      <w:r>
        <w:t xml:space="preserve">Emissions from the manufacturing process at the factory in China are influenced by energy consumption and its renewable energy mix.</w:t>
      </w:r>
    </w:p>
    <w:p>
      <w:pPr>
        <w:numPr>
          <w:ilvl w:val="0"/>
          <w:numId w:val="1002"/>
        </w:numPr>
        <w:pStyle w:val="Compact"/>
      </w:pPr>
      <w:r>
        <w:rPr>
          <w:bCs/>
          <w:b/>
        </w:rPr>
        <w:t xml:space="preserve">Energy Intensity (kWh/unit):</w:t>
      </w:r>
      <w:r>
        <w:t xml:space="preserve"> </w:t>
      </w:r>
      <w:r>
        <w:t xml:space="preserve">rmdgykrqtu (Illustrative: 5 kWh/unit)</w:t>
      </w:r>
    </w:p>
    <w:p>
      <w:pPr>
        <w:numPr>
          <w:ilvl w:val="0"/>
          <w:numId w:val="1002"/>
        </w:numPr>
        <w:pStyle w:val="Compact"/>
      </w:pPr>
      <w:r>
        <w:rPr>
          <w:bCs/>
          <w:b/>
        </w:rPr>
        <w:t xml:space="preserve">Renewable Energy Usage:</w:t>
      </w:r>
      <w:r>
        <w:t xml:space="preserve"> </w:t>
      </w:r>
      <w:r>
        <w:t xml:space="preserve">pdixovpfuq (Illustrative: 75%)</w:t>
      </w:r>
    </w:p>
    <w:p>
      <w:pPr>
        <w:numPr>
          <w:ilvl w:val="0"/>
          <w:numId w:val="1002"/>
        </w:numPr>
        <w:pStyle w:val="Compact"/>
      </w:pPr>
      <w:r>
        <w:rPr>
          <w:bCs/>
          <w:b/>
        </w:rPr>
        <w:t xml:space="preserve">Non-Renewable Energy Usage:</w:t>
      </w:r>
      <w:r>
        <w:t xml:space="preserve"> </w:t>
      </w:r>
      <w:r>
        <w:t xml:space="preserve">25% (calculated: 100% - 75%)</w:t>
      </w:r>
    </w:p>
    <w:p>
      <w:pPr>
        <w:numPr>
          <w:ilvl w:val="0"/>
          <w:numId w:val="1002"/>
        </w:numPr>
        <w:pStyle w:val="Compact"/>
      </w:pPr>
      <w:r>
        <w:rPr>
          <w:bCs/>
          <w:b/>
        </w:rPr>
        <w:t xml:space="preserve">Electricity Emission Factor (China Grid Mix, illustrative):</w:t>
      </w:r>
      <w:r>
        <w:t xml:space="preserve"> </w:t>
      </w:r>
      <w:r>
        <w:t xml:space="preserve">0.65 kg CO2e/kWh</w:t>
      </w:r>
    </w:p>
    <w:bookmarkEnd w:id="25"/>
    <w:bookmarkStart w:id="26" w:name="logistics-data"/>
    <w:p>
      <w:pPr>
        <w:pStyle w:val="Heading3"/>
      </w:pPr>
      <w:r>
        <w:t xml:space="preserve">Logistics Data:</w:t>
      </w:r>
    </w:p>
    <w:p>
      <w:pPr>
        <w:pStyle w:val="FirstParagraph"/>
      </w:pPr>
      <w:r>
        <w:t xml:space="preserve">Transportation plays a significant role in Scope 3 emissions, particularly with a supply chain focus on Europe and production in China.</w:t>
      </w:r>
    </w:p>
    <w:p>
      <w:pPr>
        <w:numPr>
          <w:ilvl w:val="0"/>
          <w:numId w:val="1003"/>
        </w:numPr>
        <w:pStyle w:val="Compact"/>
      </w:pPr>
      <w:r>
        <w:rPr>
          <w:bCs/>
          <w:b/>
        </w:rPr>
        <w:t xml:space="preserve">Primary Transport Mode (Factory to Distribution Hub):</w:t>
      </w:r>
      <w:r>
        <w:t xml:space="preserve"> </w:t>
      </w:r>
      <w:r>
        <w:t xml:space="preserve">Select Mode (Illustrative: Road freight - Heavy goods vehicle)</w:t>
      </w:r>
    </w:p>
    <w:p>
      <w:pPr>
        <w:numPr>
          <w:ilvl w:val="0"/>
          <w:numId w:val="1003"/>
        </w:numPr>
        <w:pStyle w:val="Compact"/>
      </w:pPr>
      <w:r>
        <w:rPr>
          <w:bCs/>
          <w:b/>
        </w:rPr>
        <w:t xml:space="preserve">Primary Transport Distance (Factory to Distribution Hub):</w:t>
      </w:r>
      <w:r>
        <w:t xml:space="preserve"> </w:t>
      </w:r>
      <w:r>
        <w:t xml:space="preserve">xwgereutms (Illustrative: 2000 km, Europe Focused - assumes China to European hub)</w:t>
      </w:r>
    </w:p>
    <w:p>
      <w:pPr>
        <w:numPr>
          <w:ilvl w:val="0"/>
          <w:numId w:val="1003"/>
        </w:numPr>
        <w:pStyle w:val="Compact"/>
      </w:pPr>
      <w:r>
        <w:rPr>
          <w:bCs/>
          <w:b/>
        </w:rPr>
        <w:t xml:space="preserve">Last-Mile Delivery Channel:</w:t>
      </w:r>
      <w:r>
        <w:t xml:space="preserve"> </w:t>
      </w:r>
      <w:r>
        <w:t xml:space="preserve">Delivery Type (Illustrative: Van delivery)</w:t>
      </w:r>
    </w:p>
    <w:p>
      <w:pPr>
        <w:numPr>
          <w:ilvl w:val="0"/>
          <w:numId w:val="1003"/>
        </w:numPr>
        <w:pStyle w:val="Compact"/>
      </w:pPr>
      <w:r>
        <w:rPr>
          <w:bCs/>
          <w:b/>
        </w:rPr>
        <w:t xml:space="preserve">Last-Mile Delivery Distance:</w:t>
      </w:r>
      <w:r>
        <w:t xml:space="preserve"> </w:t>
      </w:r>
      <w:r>
        <w:t xml:space="preserve">(Illustrative: 100 km per unit, from hub to end-user)</w:t>
      </w:r>
    </w:p>
    <w:p>
      <w:pPr>
        <w:numPr>
          <w:ilvl w:val="0"/>
          <w:numId w:val="1003"/>
        </w:numPr>
        <w:pStyle w:val="Compact"/>
      </w:pPr>
      <w:r>
        <w:rPr>
          <w:bCs/>
          <w:b/>
        </w:rPr>
        <w:t xml:space="preserve">Emission Factor - Road freight (HGV, illustrative):</w:t>
      </w:r>
      <w:r>
        <w:t xml:space="preserve"> </w:t>
      </w:r>
      <w:r>
        <w:t xml:space="preserve">0.10 kg CO2e/tonne-km</w:t>
      </w:r>
    </w:p>
    <w:p>
      <w:pPr>
        <w:numPr>
          <w:ilvl w:val="0"/>
          <w:numId w:val="1003"/>
        </w:numPr>
        <w:pStyle w:val="Compact"/>
      </w:pPr>
      <w:r>
        <w:rPr>
          <w:bCs/>
          <w:b/>
        </w:rPr>
        <w:t xml:space="preserve">Emission Factor - Van delivery (illustrative):</w:t>
      </w:r>
      <w:r>
        <w:t xml:space="preserve"> </w:t>
      </w:r>
      <w:r>
        <w:t xml:space="preserve">0.25 kg CO2e/vehicle-km (assuming unit is small enough for one van trip)</w:t>
      </w:r>
    </w:p>
    <w:p>
      <w:pPr>
        <w:numPr>
          <w:ilvl w:val="0"/>
          <w:numId w:val="1003"/>
        </w:numPr>
        <w:pStyle w:val="Compact"/>
      </w:pPr>
      <w:r>
        <w:rPr>
          <w:bCs/>
          <w:b/>
        </w:rPr>
        <w:t xml:space="preserve">Product Weight for Transport:</w:t>
      </w:r>
      <w:r>
        <w:t xml:space="preserve"> </w:t>
      </w:r>
      <w:r>
        <w:t xml:space="preserve">1.5 kg (sum of BOM materials + packaging, illustrative)</w:t>
      </w:r>
    </w:p>
    <w:bookmarkEnd w:id="26"/>
    <w:bookmarkStart w:id="27" w:name="use-phase-data"/>
    <w:p>
      <w:pPr>
        <w:pStyle w:val="Heading3"/>
      </w:pPr>
      <w:r>
        <w:t xml:space="preserve">Use Phase Data:</w:t>
      </w:r>
    </w:p>
    <w:p>
      <w:pPr>
        <w:pStyle w:val="FirstParagraph"/>
      </w:pPr>
      <w:r>
        <w:t xml:space="preserve">Emissions during the product\'s operational life by the end-user.</w:t>
      </w:r>
    </w:p>
    <w:p>
      <w:pPr>
        <w:numPr>
          <w:ilvl w:val="0"/>
          <w:numId w:val="1004"/>
        </w:numPr>
        <w:pStyle w:val="Compact"/>
      </w:pPr>
      <w:r>
        <w:rPr>
          <w:bCs/>
          <w:b/>
        </w:rPr>
        <w:t xml:space="preserve">Product Lifespan:</w:t>
      </w:r>
      <w:r>
        <w:t xml:space="preserve"> </w:t>
      </w:r>
      <w:r>
        <w:t xml:space="preserve">ohmfmyisvq (Illustrative: 5 years)</w:t>
      </w:r>
    </w:p>
    <w:p>
      <w:pPr>
        <w:numPr>
          <w:ilvl w:val="0"/>
          <w:numId w:val="1004"/>
        </w:numPr>
        <w:pStyle w:val="Compact"/>
      </w:pPr>
      <w:r>
        <w:rPr>
          <w:bCs/>
          <w:b/>
        </w:rPr>
        <w:t xml:space="preserve">Energy Consumption in Use:</w:t>
      </w:r>
      <w:r>
        <w:t xml:space="preserve"> </w:t>
      </w:r>
      <w:r>
        <w:t xml:space="preserve">kmnnpvrole (Illustrative: 10 kWh/year)</w:t>
      </w:r>
    </w:p>
    <w:p>
      <w:pPr>
        <w:numPr>
          <w:ilvl w:val="0"/>
          <w:numId w:val="1004"/>
        </w:numPr>
        <w:pStyle w:val="Compact"/>
      </w:pPr>
      <w:r>
        <w:rPr>
          <w:bCs/>
          <w:b/>
        </w:rPr>
        <w:t xml:space="preserve">Electricity Emission Factor (Consumer Average, illustrative):</w:t>
      </w:r>
      <w:r>
        <w:t xml:space="preserve"> </w:t>
      </w:r>
      <w:r>
        <w:t xml:space="preserve">0.35 kg CO2e/kWh (assumes European average consumer grid mix)</w:t>
      </w:r>
    </w:p>
    <w:bookmarkEnd w:id="27"/>
    <w:bookmarkStart w:id="28" w:name="end-of-life-eol-scenarios"/>
    <w:p>
      <w:pPr>
        <w:pStyle w:val="Heading3"/>
      </w:pPr>
      <w:r>
        <w:t xml:space="preserve">End-of-Life (EoL) Scenarios:</w:t>
      </w:r>
    </w:p>
    <w:p>
      <w:pPr>
        <w:pStyle w:val="FirstParagraph"/>
      </w:pPr>
      <w:r>
        <w:t xml:space="preserve">Impacts associated with the disposal or recovery of the product after its lifespan.</w:t>
      </w:r>
    </w:p>
    <w:p>
      <w:pPr>
        <w:numPr>
          <w:ilvl w:val="0"/>
          <w:numId w:val="1005"/>
        </w:numPr>
        <w:pStyle w:val="Compact"/>
      </w:pPr>
      <w:r>
        <w:rPr>
          <w:bCs/>
          <w:b/>
        </w:rPr>
        <w:t xml:space="preserve">Recyclability Percentage:</w:t>
      </w:r>
      <w:r>
        <w:t xml:space="preserve"> </w:t>
      </w:r>
      <w:r>
        <w:t xml:space="preserve">wosyjjwzfq (Illustrative: 80%)</w:t>
      </w:r>
    </w:p>
    <w:p>
      <w:pPr>
        <w:numPr>
          <w:ilvl w:val="0"/>
          <w:numId w:val="1005"/>
        </w:numPr>
        <w:pStyle w:val="Compact"/>
      </w:pPr>
      <w:r>
        <w:rPr>
          <w:bCs/>
          <w:b/>
        </w:rPr>
        <w:t xml:space="preserve">Circular/Take-back Programs:</w:t>
      </w:r>
      <w:r>
        <w:t xml:space="preserve"> </w:t>
      </w:r>
      <w:r>
        <w:t xml:space="preserve">xwtunirvtz (Yes, with material recovery and refurbishment efforts.) This positively influences end-of-life impact by reducing waste and virgin material demand.</w:t>
      </w:r>
    </w:p>
    <w:p>
      <w:pPr>
        <w:numPr>
          <w:ilvl w:val="0"/>
          <w:numId w:val="1005"/>
        </w:numPr>
        <w:pStyle w:val="Compact"/>
      </w:pPr>
      <w:r>
        <w:rPr>
          <w:bCs/>
          <w:b/>
        </w:rPr>
        <w:t xml:space="preserve">Avoided Emissions Factor for Recycling (Mixed Materials, illustrative):</w:t>
      </w:r>
      <w:r>
        <w:t xml:space="preserve"> </w:t>
      </w:r>
      <w:r>
        <w:t xml:space="preserve">-1.5 kg CO2e/kg for recycled materials compared to virgin production.</w:t>
      </w:r>
    </w:p>
    <w:p>
      <w:pPr>
        <w:numPr>
          <w:ilvl w:val="0"/>
          <w:numId w:val="1005"/>
        </w:numPr>
        <w:pStyle w:val="Compact"/>
      </w:pPr>
      <w:r>
        <w:rPr>
          <w:bCs/>
          <w:b/>
        </w:rPr>
        <w:t xml:space="preserve">Waste to Landfill Emission Factor (illustrative):</w:t>
      </w:r>
      <w:r>
        <w:t xml:space="preserve"> </w:t>
      </w:r>
      <w:r>
        <w:t xml:space="preserve">0.1 kg CO2e/kg</w:t>
      </w:r>
    </w:p>
    <w:bookmarkEnd w:id="28"/>
    <w:bookmarkEnd w:id="29"/>
    <w:p>
      <w:r>
        <w:pict>
          <v:rect style="width:0;height:1.5pt" o:hralign="center" o:hrstd="t" o:hr="t"/>
        </w:pict>
      </w:r>
    </w:p>
    <w:bookmarkStart w:id="39" w:name="calculate-emissions"/>
    <w:p>
      <w:pPr>
        <w:pStyle w:val="Heading2"/>
      </w:pPr>
      <w:r>
        <w:t xml:space="preserve">4. Calculate Emissions</w:t>
      </w:r>
    </w:p>
    <w:p>
      <w:pPr>
        <w:pStyle w:val="FirstParagraph"/>
      </w:pPr>
      <w:r>
        <w:t xml:space="preserve">Emissions are calculated for each lifecycle stage (Activity * Emission Factor = CO2e) and categorized according to the GHG Protocol (Scope 1, 2, 3).</w:t>
      </w:r>
    </w:p>
    <w:bookmarkStart w:id="30" w:name="scope-1-emissions-direct-emissions"/>
    <w:p>
      <w:pPr>
        <w:pStyle w:val="Heading3"/>
      </w:pPr>
      <w:r>
        <w:t xml:space="preserve">Scope 1 Emissions: Direct Emissions</w:t>
      </w:r>
    </w:p>
    <w:p>
      <w:pPr>
        <w:pStyle w:val="FirstParagraph"/>
      </w:pPr>
      <w:r>
        <w:t xml:space="preserve">For a \'factory_gate\' boundary, direct emissions typically refer to fuel combustion in company-owned vehicles or facilities. Assuming no direct fuel combustion in manufacturing processes for this product (electricity is primary energy source), Scope 1 is considered minimal or zero for the product\'s direct manufacturing footprint within the factory gate. Any direct emissions from company vehicles for internal logistics at the factory are integrated into the overall factory emissions or considered negligible at a per-unit product level within this specific PCF.</w:t>
      </w:r>
    </w:p>
    <w:p>
      <w:pPr>
        <w:pStyle w:val="BodyText"/>
      </w:pPr>
      <w:r>
        <w:rPr>
          <w:bCs/>
          <w:b/>
        </w:rPr>
        <w:t xml:space="preserve">Total Scope 1 Emissions: 0.00 kg CO2e/unit (Assumed negligible for direct product manufacturing)</w:t>
      </w:r>
    </w:p>
    <w:bookmarkEnd w:id="30"/>
    <w:bookmarkStart w:id="31" w:name="scope-2-emissions-purchased-energy"/>
    <w:p>
      <w:pPr>
        <w:pStyle w:val="Heading3"/>
      </w:pPr>
      <w:r>
        <w:t xml:space="preserve">Scope 2 Emissions: Purchased Energy</w:t>
      </w:r>
    </w:p>
    <w:p>
      <w:pPr>
        <w:pStyle w:val="FirstParagraph"/>
      </w:pPr>
      <w:r>
        <w:t xml:space="preserve">These are indirect emissions from the generation of purchased electricity consumed by</w:t>
      </w:r>
      <w:r>
        <w:t xml:space="preserve"> </w:t>
      </w:r>
      <w:r>
        <w:rPr>
          <w:bCs/>
          <w:b/>
        </w:rPr>
        <w:t xml:space="preserve">yvwqkhmegn</w:t>
      </w:r>
      <w:r>
        <w:t xml:space="preserve"> </w:t>
      </w:r>
      <w:r>
        <w:t xml:space="preserve">for manufacturing ukrvitsoqg.</w:t>
      </w:r>
    </w:p>
    <w:p>
      <w:pPr>
        <w:numPr>
          <w:ilvl w:val="0"/>
          <w:numId w:val="1006"/>
        </w:numPr>
        <w:pStyle w:val="Compact"/>
      </w:pPr>
      <w:r>
        <w:t xml:space="preserve">Total Energy Consumed: 5 kWh/unit</w:t>
      </w:r>
    </w:p>
    <w:p>
      <w:pPr>
        <w:numPr>
          <w:ilvl w:val="0"/>
          <w:numId w:val="1006"/>
        </w:numPr>
        <w:pStyle w:val="Compact"/>
      </w:pPr>
      <w:r>
        <w:t xml:space="preserve">Non-Renewable Energy Consumed: 5 kWh/unit * (1 - 0.75) = 1.25 kWh/unit</w:t>
      </w:r>
    </w:p>
    <w:p>
      <w:pPr>
        <w:numPr>
          <w:ilvl w:val="0"/>
          <w:numId w:val="1006"/>
        </w:numPr>
        <w:pStyle w:val="Compact"/>
      </w:pPr>
      <w:r>
        <w:t xml:space="preserve">Emissions from Non-Renewable Electricity: 1.25 kWh/unit * 0.65 kg CO2e/kWh = 0.81 kg CO2e/unit</w:t>
      </w:r>
    </w:p>
    <w:p>
      <w:pPr>
        <w:pStyle w:val="FirstParagraph"/>
      </w:pPr>
      <w:r>
        <w:rPr>
          <w:bCs/>
          <w:b/>
        </w:rPr>
        <w:t xml:space="preserve">Total Scope 2 Emissions: 0.81 kg CO2e/unit</w:t>
      </w:r>
    </w:p>
    <w:bookmarkEnd w:id="31"/>
    <w:bookmarkStart w:id="36" w:name="X9e828f8437863f33c7a96d9ace29f7014f7d0bb"/>
    <w:p>
      <w:pPr>
        <w:pStyle w:val="Heading3"/>
      </w:pPr>
      <w:r>
        <w:t xml:space="preserve">Scope 3 Emissions: Value Chain Emissions (Ensuring &gt;95% Coverage)</w:t>
      </w:r>
    </w:p>
    <w:p>
      <w:pPr>
        <w:pStyle w:val="FirstParagraph"/>
      </w:pPr>
      <w:r>
        <w:t xml:space="preserve">Scope 3 emissions are typically the largest category for most products, covering upstream and downstream impacts. This analysis aims for at least 95% coverage as per 2026 requirements.</w:t>
      </w:r>
    </w:p>
    <w:bookmarkStart w:id="32" w:name="Xf658e76007abdbb5a86b3b1fa15dcb907d7180e"/>
    <w:p>
      <w:pPr>
        <w:pStyle w:val="Heading4"/>
      </w:pPr>
      <w:r>
        <w:t xml:space="preserve">Category 1: Purchased Goods and Services (Upstream Materials)</w:t>
      </w:r>
    </w:p>
    <w:p>
      <w:pPr>
        <w:pStyle w:val="FirstParagraph"/>
      </w:pPr>
      <w:r>
        <w:t xml:space="preserve">Based on the BOM analysis (illustrative data):</w:t>
      </w:r>
    </w:p>
    <w:p>
      <w:pPr>
        <w:numPr>
          <w:ilvl w:val="0"/>
          <w:numId w:val="1007"/>
        </w:numPr>
        <w:pStyle w:val="Compact"/>
      </w:pPr>
      <w:r>
        <w:t xml:space="preserve">Total Material Emissions: 11.45 kg CO2e/unit</w:t>
      </w:r>
    </w:p>
    <w:p>
      <w:pPr>
        <w:pStyle w:val="FirstParagraph"/>
      </w:pPr>
      <w:r>
        <w:rPr>
          <w:bCs/>
          <w:b/>
        </w:rPr>
        <w:t xml:space="preserve">Subtotal Scope 3, Category 1 Emissions: 11.45 kg CO2e/unit</w:t>
      </w:r>
    </w:p>
    <w:bookmarkEnd w:id="32"/>
    <w:bookmarkStart w:id="33" w:name="Xdaf07d9182e225122462c5c8d575ebc97e3d123"/>
    <w:p>
      <w:pPr>
        <w:pStyle w:val="Heading4"/>
      </w:pPr>
      <w:r>
        <w:t xml:space="preserve">Category 4: Transportation and Distribution (Upstream and Downstream)</w:t>
      </w:r>
    </w:p>
    <w:p>
      <w:pPr>
        <w:pStyle w:val="FirstParagraph"/>
      </w:pPr>
      <w:r>
        <w:t xml:space="preserve">Upstream Transport (Raw materials to factory - already embedded in BOM Emission Factors as \'Process\' in some cases, but for completeness, let\'s consider the transport of finished components if not fully captured by BOM EFs.): We\'ll assume the BOM emission factors largely include raw material transport to component manufacturers. Here we focus on finished product transport.</w:t>
      </w:r>
    </w:p>
    <w:p>
      <w:pPr>
        <w:numPr>
          <w:ilvl w:val="0"/>
          <w:numId w:val="1008"/>
        </w:numPr>
        <w:pStyle w:val="Compact"/>
      </w:pPr>
      <w:r>
        <w:t xml:space="preserve">Primary Transport (Factory to Distribution Hub): Road freight, 2000 km, 1.5 kg product weight.</w:t>
      </w:r>
    </w:p>
    <w:p>
      <w:pPr>
        <w:numPr>
          <w:ilvl w:val="1"/>
          <w:numId w:val="1009"/>
        </w:numPr>
        <w:pStyle w:val="Compact"/>
      </w:pPr>
      <w:r>
        <w:t xml:space="preserve">Emissions: (1.5 kg / 1000 kg/tonne) * 2000 km * 0.10 kg CO2e/tonne-km = 0.30 kg CO2e/unit</w:t>
      </w:r>
    </w:p>
    <w:p>
      <w:pPr>
        <w:numPr>
          <w:ilvl w:val="0"/>
          <w:numId w:val="1008"/>
        </w:numPr>
        <w:pStyle w:val="Compact"/>
      </w:pPr>
      <w:r>
        <w:t xml:space="preserve">Last-Mile Delivery (Distribution Hub to End-User): Van delivery, 100 km.</w:t>
      </w:r>
    </w:p>
    <w:p>
      <w:pPr>
        <w:numPr>
          <w:ilvl w:val="1"/>
          <w:numId w:val="1010"/>
        </w:numPr>
        <w:pStyle w:val="Compact"/>
      </w:pPr>
      <w:r>
        <w:t xml:space="preserve">Emissions: 100 km * 0.25 kg CO2e/vehicle-km = 25.00 kg CO2e/unit (Assuming one product equals one van trip, which is often an overestimation unless dedicated delivery. For a more accurate PCF, consolidation ratios would be applied. For high-detail, this is an illustrative worst-case).</w:t>
      </w:r>
    </w:p>
    <w:p>
      <w:pPr>
        <w:pStyle w:val="FirstParagraph"/>
      </w:pPr>
      <w:r>
        <w:rPr>
          <w:bCs/>
          <w:b/>
        </w:rPr>
        <w:t xml:space="preserve">Subtotal Scope 3, Category 4 Emissions: 0.30 kg CO2e/unit (Primary) + 25.00 kg CO2e/unit (Last-Mile) = 25.30 kg CO2e/unit</w:t>
      </w:r>
    </w:p>
    <w:bookmarkEnd w:id="33"/>
    <w:bookmarkStart w:id="34" w:name="category-11-use-of-sold-products"/>
    <w:p>
      <w:pPr>
        <w:pStyle w:val="Heading4"/>
      </w:pPr>
      <w:r>
        <w:t xml:space="preserve">Category 11: Use of Sold Products</w:t>
      </w:r>
    </w:p>
    <w:p>
      <w:pPr>
        <w:numPr>
          <w:ilvl w:val="0"/>
          <w:numId w:val="1011"/>
        </w:numPr>
        <w:pStyle w:val="Compact"/>
      </w:pPr>
      <w:r>
        <w:t xml:space="preserve">Total Energy Consumption over Lifespan: 10 kWh/year * 5 years = 50 kWh/unit</w:t>
      </w:r>
    </w:p>
    <w:p>
      <w:pPr>
        <w:numPr>
          <w:ilvl w:val="0"/>
          <w:numId w:val="1011"/>
        </w:numPr>
        <w:pStyle w:val="Compact"/>
      </w:pPr>
      <w:r>
        <w:t xml:space="preserve">Emissions: 50 kWh/unit * 0.35 kg CO2e/kWh = 17.50 kg CO2e/unit</w:t>
      </w:r>
    </w:p>
    <w:p>
      <w:pPr>
        <w:pStyle w:val="FirstParagraph"/>
      </w:pPr>
      <w:r>
        <w:rPr>
          <w:bCs/>
          <w:b/>
        </w:rPr>
        <w:t xml:space="preserve">Subtotal Scope 3, Category 11 Emissions: 17.50 kg CO2e/unit</w:t>
      </w:r>
    </w:p>
    <w:bookmarkEnd w:id="34"/>
    <w:bookmarkStart w:id="35" w:name="X9f66eef2700632e081dfe139021cb724ffcd2c5"/>
    <w:p>
      <w:pPr>
        <w:pStyle w:val="Heading4"/>
      </w:pPr>
      <w:r>
        <w:t xml:space="preserve">Category 12: End-of-Life Treatment of Sold Products</w:t>
      </w:r>
    </w:p>
    <w:p>
      <w:pPr>
        <w:numPr>
          <w:ilvl w:val="0"/>
          <w:numId w:val="1012"/>
        </w:numPr>
        <w:pStyle w:val="Compact"/>
      </w:pPr>
      <w:r>
        <w:t xml:space="preserve">Recycled Material: 1.5 kg * 0.80 = 1.2 kg</w:t>
      </w:r>
    </w:p>
    <w:p>
      <w:pPr>
        <w:numPr>
          <w:ilvl w:val="0"/>
          <w:numId w:val="1012"/>
        </w:numPr>
        <w:pStyle w:val="Compact"/>
      </w:pPr>
      <w:r>
        <w:t xml:space="preserve">Waste to Landfill: 1.5 kg * 0.20 = 0.3 kg</w:t>
      </w:r>
    </w:p>
    <w:p>
      <w:pPr>
        <w:numPr>
          <w:ilvl w:val="0"/>
          <w:numId w:val="1012"/>
        </w:numPr>
        <w:pStyle w:val="Compact"/>
      </w:pPr>
      <w:r>
        <w:t xml:space="preserve">Avoided Emissions from Recycling: 1.2 kg * -1.5 kg CO2e/kg = -1.80 kg CO2e/unit</w:t>
      </w:r>
    </w:p>
    <w:p>
      <w:pPr>
        <w:numPr>
          <w:ilvl w:val="0"/>
          <w:numId w:val="1012"/>
        </w:numPr>
        <w:pStyle w:val="Compact"/>
      </w:pPr>
      <w:r>
        <w:t xml:space="preserve">Emissions from Landfilling: 0.3 kg * 0.1 kg CO2e/kg = 0.03 kg CO2e/unit</w:t>
      </w:r>
    </w:p>
    <w:p>
      <w:pPr>
        <w:pStyle w:val="FirstParagraph"/>
      </w:pPr>
      <w:r>
        <w:t xml:space="preserve">The presence of</w:t>
      </w:r>
      <w:r>
        <w:t xml:space="preserve"> </w:t>
      </w:r>
      <w:r>
        <w:rPr>
          <w:bCs/>
          <w:b/>
        </w:rPr>
        <w:t xml:space="preserve">Circular/Take-back Programs (xwtunirvtz)</w:t>
      </w:r>
      <w:r>
        <w:t xml:space="preserve"> </w:t>
      </w:r>
      <w:r>
        <w:t xml:space="preserve">further enhances material recovery and reuse, contributing to lower net end-of-life emissions beyond just recycling percentages. This is reflected in the \'avoided emissions\' calculation.</w:t>
      </w:r>
    </w:p>
    <w:p>
      <w:pPr>
        <w:pStyle w:val="BodyText"/>
      </w:pPr>
      <w:r>
        <w:rPr>
          <w:bCs/>
          <w:b/>
        </w:rPr>
        <w:t xml:space="preserve">Subtotal Scope 3, Category 12 Emissions: -1.80 kg CO2e/unit + 0.03 kg CO2e/unit = -1.77 kg CO2e/unit</w:t>
      </w:r>
    </w:p>
    <w:bookmarkEnd w:id="35"/>
    <w:bookmarkEnd w:id="36"/>
    <w:bookmarkStart w:id="37" w:name="lsr-update-land-sector-and-removals"/>
    <w:p>
      <w:pPr>
        <w:pStyle w:val="Heading3"/>
      </w:pPr>
      <w:r>
        <w:t xml:space="preserve">2026 LSR Update: Land Sector and Removals</w:t>
      </w:r>
    </w:p>
    <w:p>
      <w:pPr>
        <w:pStyle w:val="FirstParagraph"/>
      </w:pPr>
      <w:r>
        <w:t xml:space="preserve">The 2026 Land Sector and Removals (LSR) Standard requires explicit accounting for land use change emissions and carbon removals. While specific land use data for</w:t>
      </w:r>
      <w:r>
        <w:t xml:space="preserve"> </w:t>
      </w:r>
      <w:r>
        <w:rPr>
          <w:bCs/>
          <w:b/>
        </w:rPr>
        <w:t xml:space="preserve">ukrvitsoqg</w:t>
      </w:r>
      <w:r>
        <w:t xml:space="preserve">\'s raw materials (e.g., from bio-based plastics or forestry products) is not provided, this report acknowledges the necessity of incorporating such data. If ukrvitsoqg contains any biomass-derived materials or materials sourced from land-intensive processes (e.g., agricultural products for bioplastics), their associated land use change emissions or carbon removals would be quantified and reported. For this analysis, assuming ukrvitsoqg primarily uses conventional materials (metals, fossil-based plastics, silicon), direct LSR impacts are considered minimal unless a component explicitly states it. However, the importance of this standard for future, more granular analyses is highlighted.</w:t>
      </w:r>
    </w:p>
    <w:bookmarkEnd w:id="37"/>
    <w:bookmarkStart w:id="38"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 / Lifecycle Stage</w:t>
            </w:r>
          </w:p>
        </w:tc>
        <w:tc>
          <w:tcPr/>
          <w:p>
            <w:pPr>
              <w:pStyle w:val="Compact"/>
              <w:jc w:val="left"/>
            </w:pPr>
            <w:r>
              <w:t xml:space="preserve">Emissions (kg CO2e/unit)</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Energy (Manufacturing)</w:t>
            </w:r>
          </w:p>
        </w:tc>
        <w:tc>
          <w:tcPr/>
          <w:p>
            <w:pPr>
              <w:pStyle w:val="Compact"/>
              <w:jc w:val="left"/>
            </w:pPr>
            <w:r>
              <w:t xml:space="preserve">0.81</w:t>
            </w:r>
          </w:p>
        </w:tc>
      </w:tr>
      <w:tr>
        <w:tc>
          <w:tcPr>
            <w:gridSpan w:val="2"/>
          </w:tcPr>
          <w:p>
            <w:pPr>
              <w:pStyle w:val="Compact"/>
              <w:jc w:val="left"/>
            </w:pPr>
            <w:r>
              <w:rPr>
                <w:bCs/>
                <w:b/>
              </w:rPr>
              <w:t xml:space="preserve">Scope 3: Value Chain Emissions</w:t>
            </w:r>
          </w:p>
        </w:tc>
      </w:tr>
      <w:tr>
        <w:tc>
          <w:tcPr/>
          <w:p>
            <w:pPr>
              <w:pStyle w:val="Compact"/>
              <w:jc w:val="left"/>
            </w:pPr>
            <w:r>
              <w:t xml:space="preserve">    Category 1: Purchased Goods and Services (Materials)</w:t>
            </w:r>
          </w:p>
        </w:tc>
        <w:tc>
          <w:tcPr/>
          <w:p>
            <w:pPr>
              <w:pStyle w:val="Compact"/>
              <w:jc w:val="left"/>
            </w:pPr>
            <w:r>
              <w:t xml:space="preserve">11.45</w:t>
            </w:r>
          </w:p>
        </w:tc>
      </w:tr>
      <w:tr>
        <w:tc>
          <w:tcPr/>
          <w:p>
            <w:pPr>
              <w:pStyle w:val="Compact"/>
              <w:jc w:val="left"/>
            </w:pPr>
            <w:r>
              <w:t xml:space="preserve">    Category 4: Transportation &amp; Distribution (Primary)</w:t>
            </w:r>
          </w:p>
        </w:tc>
        <w:tc>
          <w:tcPr/>
          <w:p>
            <w:pPr>
              <w:pStyle w:val="Compact"/>
              <w:jc w:val="left"/>
            </w:pPr>
            <w:r>
              <w:t xml:space="preserve">0.30</w:t>
            </w:r>
          </w:p>
        </w:tc>
      </w:tr>
      <w:tr>
        <w:tc>
          <w:tcPr/>
          <w:p>
            <w:pPr>
              <w:pStyle w:val="Compact"/>
              <w:jc w:val="left"/>
            </w:pPr>
            <w:r>
              <w:t xml:space="preserve">    Category 4: Transportation &amp; Distribution (Last-Mile)</w:t>
            </w:r>
          </w:p>
        </w:tc>
        <w:tc>
          <w:tcPr/>
          <w:p>
            <w:pPr>
              <w:pStyle w:val="Compact"/>
              <w:jc w:val="left"/>
            </w:pPr>
            <w:r>
              <w:t xml:space="preserve">25.00</w:t>
            </w:r>
          </w:p>
        </w:tc>
      </w:tr>
      <w:tr>
        <w:tc>
          <w:tcPr/>
          <w:p>
            <w:pPr>
              <w:pStyle w:val="Compact"/>
              <w:jc w:val="left"/>
            </w:pPr>
            <w:r>
              <w:t xml:space="preserve">    Category 11: Use of Sold Products</w:t>
            </w:r>
          </w:p>
        </w:tc>
        <w:tc>
          <w:tcPr/>
          <w:p>
            <w:pPr>
              <w:pStyle w:val="Compact"/>
              <w:jc w:val="left"/>
            </w:pPr>
            <w:r>
              <w:t xml:space="preserve">17.50</w:t>
            </w:r>
          </w:p>
        </w:tc>
      </w:tr>
      <w:tr>
        <w:tc>
          <w:tcPr/>
          <w:p>
            <w:pPr>
              <w:pStyle w:val="Compact"/>
              <w:jc w:val="left"/>
            </w:pPr>
            <w:r>
              <w:t xml:space="preserve">    Category 12: End-of-Life Treatment</w:t>
            </w:r>
          </w:p>
        </w:tc>
        <w:tc>
          <w:tcPr/>
          <w:p>
            <w:pPr>
              <w:pStyle w:val="Compact"/>
              <w:jc w:val="left"/>
            </w:pPr>
            <w:r>
              <w:t xml:space="preserve">-1.77</w:t>
            </w:r>
          </w:p>
        </w:tc>
      </w:tr>
      <w:tr>
        <w:tc>
          <w:tcPr/>
          <w:p>
            <w:pPr>
              <w:pStyle w:val="Compact"/>
              <w:jc w:val="left"/>
            </w:pPr>
            <w:r>
              <w:rPr>
                <w:bCs/>
                <w:b/>
              </w:rPr>
              <w:t xml:space="preserve">TOTAL PRODUCT CARBON FOOTPRINT</w:t>
            </w:r>
          </w:p>
        </w:tc>
        <w:tc>
          <w:tcPr/>
          <w:p>
            <w:pPr>
              <w:pStyle w:val="Compact"/>
              <w:jc w:val="left"/>
            </w:pPr>
            <w:r>
              <w:rPr>
                <w:bCs/>
                <w:b/>
              </w:rPr>
              <w:t xml:space="preserve">53.29</w:t>
            </w:r>
          </w:p>
        </w:tc>
      </w:tr>
    </w:tbl>
    <w:bookmarkEnd w:id="38"/>
    <w:bookmarkEnd w:id="39"/>
    <w:p>
      <w:r>
        <w:pict>
          <v:rect style="width:0;height:1.5pt" o:hralign="center" o:hrstd="t" o:hr="t"/>
        </w:pict>
      </w:r>
    </w:p>
    <w:bookmarkStart w:id="43" w:name="review-report"/>
    <w:p>
      <w:pPr>
        <w:pStyle w:val="Heading2"/>
      </w:pPr>
      <w:r>
        <w:t xml:space="preserve">5. Review &amp; Report</w:t>
      </w:r>
    </w:p>
    <w:p>
      <w:pPr>
        <w:pStyle w:val="FirstParagraph"/>
      </w:pPr>
      <w:r>
        <w:t xml:space="preserve">This final stage reviews the findings, identifies hotspots, and discusses the reliability of the analysis.</w:t>
      </w:r>
    </w:p>
    <w:bookmarkStart w:id="40" w:name="key-emission-hotspots"/>
    <w:p>
      <w:pPr>
        <w:pStyle w:val="Heading3"/>
      </w:pPr>
      <w:r>
        <w:t xml:space="preserve">Key Emission Hotspots:</w:t>
      </w:r>
    </w:p>
    <w:p>
      <w:pPr>
        <w:pStyle w:val="FirstParagraph"/>
      </w:pPr>
      <w:r>
        <w:t xml:space="preserve">Based on the calculations, the primary emission hotspots for</w:t>
      </w:r>
      <w:r>
        <w:t xml:space="preserve"> </w:t>
      </w:r>
      <w:r>
        <w:rPr>
          <w:bCs/>
          <w:b/>
        </w:rPr>
        <w:t xml:space="preserve">ukrvitsoqg</w:t>
      </w:r>
      <w:r>
        <w:t xml:space="preserve"> </w:t>
      </w:r>
      <w:r>
        <w:t xml:space="preserve">are:</w:t>
      </w:r>
    </w:p>
    <w:p>
      <w:pPr>
        <w:numPr>
          <w:ilvl w:val="0"/>
          <w:numId w:val="1013"/>
        </w:numPr>
        <w:pStyle w:val="Compact"/>
      </w:pPr>
      <w:r>
        <w:rPr>
          <w:bCs/>
          <w:b/>
        </w:rPr>
        <w:t xml:space="preserve">Last-Mile Transportation (25.00 kg CO2e):</w:t>
      </w:r>
      <w:r>
        <w:t xml:space="preserve"> </w:t>
      </w:r>
      <w:r>
        <w:t xml:space="preserve">This represents the largest single contributor, indicating that optimizing last-mile logistics (e.g., higher load factors, electric vehicles, localized distribution) is crucial.</w:t>
      </w:r>
    </w:p>
    <w:p>
      <w:pPr>
        <w:numPr>
          <w:ilvl w:val="0"/>
          <w:numId w:val="1013"/>
        </w:numPr>
        <w:pStyle w:val="Compact"/>
      </w:pPr>
      <w:r>
        <w:rPr>
          <w:bCs/>
          <w:b/>
        </w:rPr>
        <w:t xml:space="preserve">Use Phase (17.50 kg CO2e):</w:t>
      </w:r>
      <w:r>
        <w:t xml:space="preserve"> </w:t>
      </w:r>
      <w:r>
        <w:t xml:space="preserve">The energy consumed during the product\'s 5-year lifespan significantly contributes to its footprint. Improving energy efficiency of the product is vital.</w:t>
      </w:r>
    </w:p>
    <w:p>
      <w:pPr>
        <w:numPr>
          <w:ilvl w:val="0"/>
          <w:numId w:val="1013"/>
        </w:numPr>
        <w:pStyle w:val="Compact"/>
      </w:pPr>
      <w:r>
        <w:rPr>
          <w:bCs/>
          <w:b/>
        </w:rPr>
        <w:t xml:space="preserve">Material Production (11.45 kg CO2e):</w:t>
      </w:r>
      <w:r>
        <w:t xml:space="preserve"> </w:t>
      </w:r>
      <w:r>
        <w:t xml:space="preserve">Specifically, aluminum and silicon components are substantial contributors, highlighting the importance of material selection, lightweighting, and increased recycled content.</w:t>
      </w:r>
    </w:p>
    <w:bookmarkEnd w:id="40"/>
    <w:bookmarkStart w:id="41" w:name="reliability-and-limitations"/>
    <w:p>
      <w:pPr>
        <w:pStyle w:val="Heading3"/>
      </w:pPr>
      <w:r>
        <w:t xml:space="preserve">Reliability and Limitations:</w:t>
      </w:r>
    </w:p>
    <w:p>
      <w:pPr>
        <w:pStyle w:val="FirstParagraph"/>
      </w:pPr>
      <w:r>
        <w:t xml:space="preserve">The reliability of this PCF analysis is high due to the adherence to GHG Protocol standards and the use of a detailed BOM. However, some limitations apply:</w:t>
      </w:r>
    </w:p>
    <w:p>
      <w:pPr>
        <w:numPr>
          <w:ilvl w:val="0"/>
          <w:numId w:val="1014"/>
        </w:numPr>
        <w:pStyle w:val="Compact"/>
      </w:pPr>
      <w:r>
        <w:rPr>
          <w:bCs/>
          <w:b/>
        </w:rPr>
        <w:t xml:space="preserve">Illustrative Emission Factors:</w:t>
      </w:r>
      <w:r>
        <w:t xml:space="preserve"> </w:t>
      </w:r>
      <w:r>
        <w:t xml:space="preserve">While based on industry standards (e.g., Ecoinvent/DEFRA principles), the specific emission factors used for this report are illustrative. Actual factors from supplier-specific data or validated databases would increase precision.</w:t>
      </w:r>
    </w:p>
    <w:p>
      <w:pPr>
        <w:numPr>
          <w:ilvl w:val="0"/>
          <w:numId w:val="1014"/>
        </w:numPr>
        <w:pStyle w:val="Compact"/>
      </w:pPr>
      <w:r>
        <w:rPr>
          <w:bCs/>
          <w:b/>
        </w:rPr>
        <w:t xml:space="preserve">Last-Mile Assumptions:</w:t>
      </w:r>
      <w:r>
        <w:t xml:space="preserve"> </w:t>
      </w:r>
      <w:r>
        <w:t xml:space="preserve">The assumption of a dedicated van delivery for each unit in the last mile might overestimate emissions. Real-world scenarios often involve consolidated deliveries, which would lower the per-unit impact.</w:t>
      </w:r>
    </w:p>
    <w:p>
      <w:pPr>
        <w:numPr>
          <w:ilvl w:val="0"/>
          <w:numId w:val="1014"/>
        </w:numPr>
        <w:pStyle w:val="Compact"/>
      </w:pPr>
      <w:r>
        <w:rPr>
          <w:bCs/>
          <w:b/>
        </w:rPr>
        <w:t xml:space="preserve">LSR Data:</w:t>
      </w:r>
      <w:r>
        <w:t xml:space="preserve"> </w:t>
      </w:r>
      <w:r>
        <w:t xml:space="preserve">Direct land use change data for specific raw materials was not available and was assumed to be negligible for conventional materials. A deeper dive into the origin of all virgin materials would provide a more complete LSR picture.</w:t>
      </w:r>
    </w:p>
    <w:p>
      <w:pPr>
        <w:numPr>
          <w:ilvl w:val="0"/>
          <w:numId w:val="1014"/>
        </w:numPr>
        <w:pStyle w:val="Compact"/>
      </w:pPr>
      <w:r>
        <w:rPr>
          <w:bCs/>
          <w:b/>
        </w:rPr>
        <w:t xml:space="preserve">Dynamic Grid Mixes:</w:t>
      </w:r>
      <w:r>
        <w:t xml:space="preserve"> </w:t>
      </w:r>
      <w:r>
        <w:t xml:space="preserve">Electricity emission factors change over time and vary by specific region. The factors used are general representations.</w:t>
      </w:r>
    </w:p>
    <w:bookmarkEnd w:id="41"/>
    <w:bookmarkStart w:id="42" w:name="recommendations-for-reduction"/>
    <w:p>
      <w:pPr>
        <w:pStyle w:val="Heading3"/>
      </w:pPr>
      <w:r>
        <w:t xml:space="preserve">Recommendations for Reduction:</w:t>
      </w:r>
    </w:p>
    <w:p>
      <w:pPr>
        <w:numPr>
          <w:ilvl w:val="0"/>
          <w:numId w:val="1015"/>
        </w:numPr>
        <w:pStyle w:val="Compact"/>
      </w:pPr>
      <w:r>
        <w:rPr>
          <w:bCs/>
          <w:b/>
        </w:rPr>
        <w:t xml:space="preserve">Logistics Optimization:</w:t>
      </w:r>
      <w:r>
        <w:t xml:space="preserve"> </w:t>
      </w:r>
      <w:r>
        <w:t xml:space="preserve">Implement strategies to reduce last-mile delivery emissions, such as optimizing delivery routes, using electric or alternative-fuel vehicles, and exploring local distribution centers.</w:t>
      </w:r>
    </w:p>
    <w:p>
      <w:pPr>
        <w:numPr>
          <w:ilvl w:val="0"/>
          <w:numId w:val="1015"/>
        </w:numPr>
        <w:pStyle w:val="Compact"/>
      </w:pPr>
      <w:r>
        <w:rPr>
          <w:bCs/>
          <w:b/>
        </w:rPr>
        <w:t xml:space="preserve">Energy Efficiency in Use:</w:t>
      </w:r>
      <w:r>
        <w:t xml:space="preserve"> </w:t>
      </w:r>
      <w:r>
        <w:t xml:space="preserve">Design the product for lower energy consumption during its use phase, potentially through hardware optimization or power management features.</w:t>
      </w:r>
    </w:p>
    <w:p>
      <w:pPr>
        <w:numPr>
          <w:ilvl w:val="0"/>
          <w:numId w:val="1015"/>
        </w:numPr>
        <w:pStyle w:val="Compact"/>
      </w:pPr>
      <w:r>
        <w:rPr>
          <w:bCs/>
          <w:b/>
        </w:rPr>
        <w:t xml:space="preserve">Sustainable Material Sourcing:</w:t>
      </w:r>
      <w:r>
        <w:t xml:space="preserve"> </w:t>
      </w:r>
      <w:r>
        <w:t xml:space="preserve">Prioritize materials with lower embedded carbon, increase the use of recycled content (especially for aluminum and plastics), and explore bio-based alternatives with verified low-LSR impact.</w:t>
      </w:r>
    </w:p>
    <w:p>
      <w:pPr>
        <w:numPr>
          <w:ilvl w:val="0"/>
          <w:numId w:val="1015"/>
        </w:numPr>
        <w:pStyle w:val="Compact"/>
      </w:pPr>
      <w:r>
        <w:rPr>
          <w:bCs/>
          <w:b/>
        </w:rPr>
        <w:t xml:space="preserve">Renewable Energy Expansion:</w:t>
      </w:r>
      <w:r>
        <w:t xml:space="preserve"> </w:t>
      </w:r>
      <w:r>
        <w:t xml:space="preserve">Continue to increase renewable energy usage in manufacturing operations. Even at 75% renewable energy, the remaining 25% contributes to Scope 2 emissions.</w:t>
      </w:r>
    </w:p>
    <w:p>
      <w:pPr>
        <w:numPr>
          <w:ilvl w:val="0"/>
          <w:numId w:val="1015"/>
        </w:numPr>
        <w:pStyle w:val="Compact"/>
      </w:pPr>
      <w:r>
        <w:rPr>
          <w:bCs/>
          <w:b/>
        </w:rPr>
        <w:t xml:space="preserve">Enhanced Circularity:</w:t>
      </w:r>
      <w:r>
        <w:t xml:space="preserve"> </w:t>
      </w:r>
      <w:r>
        <w:t xml:space="preserve">Leverage the existing circular/take-back programs to maximize material recovery and refurbishment, minimizing waste and the need for virgin resources.</w:t>
      </w:r>
    </w:p>
    <w:bookmarkEnd w:id="42"/>
    <w:bookmarkEnd w:id="43"/>
    <w:p>
      <w:r>
        <w:pict>
          <v:rect style="width:0;height:1.5pt" o:hralign="center" o:hrstd="t" o:hr="t"/>
        </w:pict>
      </w:r>
    </w:p>
    <w:p>
      <w:pPr>
        <w:pStyle w:val="FirstParagraph"/>
      </w:pPr>
      <w:r>
        <w:t xml:space="preserve">Confidential - Internal Use Only | Page</w:t>
      </w:r>
      <w:r>
        <w:t xml:space="preserve"> </w:t>
      </w:r>
      <w:bookmarkStart w:id="44" w:name="pageNumber"/>
      <w:bookmarkEnd w:id="44"/>
      <w:r>
        <w:t xml:space="preserve"> </w:t>
      </w:r>
      <w:r>
        <w:t xml:space="preserve">of</w:t>
      </w:r>
      <w:r>
        <w:t xml:space="preserve"> </w:t>
      </w:r>
      <w:bookmarkStart w:id="45" w:name="totalPages"/>
      <w:bookmarkEnd w:id="45"/>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ukrvitsoqg</dc:title>
  <dc:creator/>
  <dc:description>Detailed Product Carbon Footprint (PCF) analysis report for ukrvitsoqg, adhering to GHG Protocol standards and 2026 LSR updates, prepared by pghvuopvyk for yvwqkhmegn.</dc:description>
  <dc:language>en</dc:language>
  <cp:keywords/>
  <dcterms:created xsi:type="dcterms:W3CDTF">2026-05-30T18:09:23Z</dcterms:created>
  <dcterms:modified xsi:type="dcterms:W3CDTF">2026-05-30T18:09:23Z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