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ukjsuxftyq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ukjsuxftyq"/>
    <w:p>
      <w:pPr>
        <w:pStyle w:val="Heading2"/>
      </w:pPr>
      <w:r>
        <w:t xml:space="preserve">Product: ukjsuxftyq</w:t>
      </w:r>
    </w:p>
    <w:p>
      <w:pPr>
        <w:pStyle w:val="FirstParagraph"/>
      </w:pPr>
      <w:r>
        <w:rPr>
          <w:bCs/>
          <w:b/>
        </w:rPr>
        <w:t xml:space="preserve">Company:</w:t>
      </w:r>
      <w:r>
        <w:t xml:space="preserve"> </w:t>
      </w:r>
      <w:r>
        <w:t xml:space="preserve">edrzzzxglj</w:t>
      </w:r>
    </w:p>
    <w:p>
      <w:pPr>
        <w:pStyle w:val="BodyText"/>
      </w:pPr>
      <w:r>
        <w:rPr>
          <w:bCs/>
          <w:b/>
        </w:rPr>
        <w:t xml:space="preserve">Senior Sustainability Consultant:</w:t>
      </w:r>
      <w:r>
        <w:t xml:space="preserve"> </w:t>
      </w:r>
      <w:r>
        <w:t xml:space="preserve">owxttvmwpk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End w:id="21"/>
    <w:bookmarkStart w:id="22" w:name="X17b35b24f4cda67bb64f6cebb6a774fb97dce4c"/>
    <w:p>
      <w:pPr>
        <w:pStyle w:val="Heading1"/>
      </w:pPr>
      <w:r>
        <w:t xml:space="preserve">Product Carbon Footprint Analysis Report: ukjsuxftyq</w:t>
      </w:r>
    </w:p>
    <w:p>
      <w:pPr>
        <w:pStyle w:val="FirstParagraph"/>
      </w:pPr>
      <w:r>
        <w:rPr>
          <w:bCs/>
          <w:b/>
        </w:rPr>
        <w:t xml:space="preserve">Generated Date:</w:t>
      </w:r>
      <w:r>
        <w:t xml:space="preserve"> </w:t>
      </w:r>
      <w:r>
        <w:t xml:space="preserve">May 17, 2026</w:t>
      </w:r>
    </w:p>
    <w:p>
      <w:pPr>
        <w:pStyle w:val="BodyText"/>
      </w:pPr>
      <w:r>
        <w:rPr>
          <w:bCs/>
          <w:b/>
        </w:rPr>
        <w:t xml:space="preserve">Company:</w:t>
      </w:r>
      <w:r>
        <w:t xml:space="preserve"> </w:t>
      </w:r>
      <w:r>
        <w:t xml:space="preserve">edrzzzxglj</w:t>
      </w:r>
    </w:p>
    <w:p>
      <w:pPr>
        <w:pStyle w:val="BodyText"/>
      </w:pPr>
      <w:r>
        <w:rPr>
          <w:bCs/>
          <w:b/>
        </w:rPr>
        <w:t xml:space="preserve">Senior Sustainability Consultant:</w:t>
      </w:r>
      <w:r>
        <w:t xml:space="preserve"> </w:t>
      </w:r>
      <w:r>
        <w:t xml:space="preserve">owxttvmwpk (Specializing in GHG Protocol)</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ukjsuxftyq, manufactured by edrzzzxglj. The analysis adheres strictly to the GHG Protocol standards, including the recent 2026 Land Sector and Removals (LSR) update and the enhanced Scope 3 reporting requirements. The objective is to quantify the greenhouse gas (GHG) emissions across the product\'s entire lifecycle, from raw material acquisition to end-of-life, expressed in carbon dioxide equivalents (CO2e). Key findings highlight emission hotspots and provide a foundation for strategic decarbonization efforts.</w:t>
      </w:r>
    </w:p>
    <w:p>
      <w:r>
        <w:pict>
          <v:rect style="width:0;height:1.5pt" o:hralign="center" o:hrstd="t" o:hr="t"/>
        </w:pict>
      </w:r>
    </w:p>
    <w:bookmarkEnd w:id="23"/>
    <w:bookmarkStart w:id="25" w:name="introduction"/>
    <w:p>
      <w:pPr>
        <w:pStyle w:val="Heading2"/>
      </w:pPr>
      <w:r>
        <w:t xml:space="preserve">1. Introduction</w:t>
      </w:r>
    </w:p>
    <w:p>
      <w:pPr>
        <w:pStyle w:val="FirstParagraph"/>
      </w:pPr>
      <w:r>
        <w:t xml:space="preserve">In the current global climate, understanding and mitigating environmental impact is paramount for businesses. This Product Carbon Footprint (PCF) analysis provides a comprehensive assessment of the GHG emissions associated with ukjsuxftyq, a product of edrzzzxglj. By meticulously quantifying emissions across all lifecycle stages, this report aims to identify environmental hotspots, inform design and supply chain optimization, and support transparent sustainability reporting.</w:t>
      </w:r>
    </w:p>
    <w:p>
      <w:pPr>
        <w:pStyle w:val="BodyText"/>
      </w:pPr>
      <w:r>
        <w:t xml:space="preserve">The assessment has been conducted by owxttvmwpk, a Senior Sustainability Consultant specializing in the GHG Protocol, ensuring adherence to the latest methodologies and standards.</w:t>
      </w:r>
    </w:p>
    <w:bookmarkStart w:id="24" w:name="accounting-standard"/>
    <w:p>
      <w:pPr>
        <w:pStyle w:val="Heading3"/>
      </w:pPr>
      <w:r>
        <w:t xml:space="preserve">Accounting Standard</w:t>
      </w:r>
    </w:p>
    <w:p>
      <w:pPr>
        <w:pStyle w:val="FirstParagraph"/>
      </w:pPr>
      <w:r>
        <w:t xml:space="preserve">The entire analysis is conducted in strict accordance with the Greenhouse Gas (GHG) Protocol, specifically utilizing the Product Standard and referencing relevant aspects of the Corporate Value Chain (Scope 3) Standard. This ensures a robust and globally recognized framework for quantifying and reporting GHG emissions.</w:t>
      </w:r>
    </w:p>
    <w:p>
      <w:r>
        <w:pict>
          <v:rect style="width:0;height:1.5pt" o:hralign="center" o:hrstd="t" o:hr="t"/>
        </w:pict>
      </w:r>
    </w:p>
    <w:bookmarkEnd w:id="24"/>
    <w:bookmarkEnd w:id="25"/>
    <w:bookmarkStart w:id="29" w:name="methodology"/>
    <w:p>
      <w:pPr>
        <w:pStyle w:val="Heading2"/>
      </w:pPr>
      <w:r>
        <w:t xml:space="preserve">2. Methodology</w:t>
      </w:r>
    </w:p>
    <w:p>
      <w:pPr>
        <w:pStyle w:val="FirstParagraph"/>
      </w:pPr>
      <w:r>
        <w:t xml:space="preserve">The Product Carbon Footprint (PCF) analysis for ukjsuxftyq follows a systematic,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stages, from raw material extraction to end-of-life.</w:t>
      </w:r>
    </w:p>
    <w:p>
      <w:pPr>
        <w:numPr>
          <w:ilvl w:val="0"/>
          <w:numId w:val="1001"/>
        </w:numPr>
        <w:pStyle w:val="Compact"/>
      </w:pPr>
      <w:r>
        <w:rPr>
          <w:bCs/>
          <w:b/>
        </w:rPr>
        <w:t xml:space="preserve">Collect Data:</w:t>
      </w:r>
      <w:r>
        <w:t xml:space="preserve"> </w:t>
      </w:r>
      <w:r>
        <w:t xml:space="preserve">Gather primary activity data and select appropriate secondary emission factors.</w:t>
      </w:r>
    </w:p>
    <w:p>
      <w:pPr>
        <w:numPr>
          <w:ilvl w:val="0"/>
          <w:numId w:val="1001"/>
        </w:numPr>
        <w:pStyle w:val="Compact"/>
      </w:pPr>
      <w:r>
        <w:rPr>
          <w:bCs/>
          <w:b/>
        </w:rPr>
        <w:t xml:space="preserve">Calculate Emissions:</w:t>
      </w:r>
      <w:r>
        <w:t xml:space="preserve"> </w:t>
      </w:r>
      <w:r>
        <w:t xml:space="preserve">Quantify GHG emissions using the formula: Activity Data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6"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edrzzzxglj (e.g., on-site manufacturing processes not involving purchased electricity).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edrzzzxglj\'s operations.</w:t>
      </w:r>
    </w:p>
    <w:p>
      <w:pPr>
        <w:numPr>
          <w:ilvl w:val="0"/>
          <w:numId w:val="1002"/>
        </w:numPr>
        <w:pStyle w:val="Compact"/>
      </w:pPr>
      <w:r>
        <w:rPr>
          <w:bCs/>
          <w:b/>
        </w:rPr>
        <w:t xml:space="preserve">Scope 3:</w:t>
      </w:r>
      <w:r>
        <w:t xml:space="preserve"> </w:t>
      </w:r>
      <w:r>
        <w:t xml:space="preserve">All other indirect emissions that occur in the value chain of ukjsuxftyq, both upstream and downstream. This includes emissions from purchased goods and services (materials), transportation and distribution, use of sold products, and end-of-life treatment of sold products.</w:t>
      </w:r>
    </w:p>
    <w:bookmarkEnd w:id="26"/>
    <w:bookmarkStart w:id="27" w:name="X504f4a86e01fdcfa46a4589bb1b5e0cfaad8629"/>
    <w:p>
      <w:pPr>
        <w:pStyle w:val="Heading3"/>
      </w:pPr>
      <w:r>
        <w:t xml:space="preserve">2026 Land Sector and Removals (LSR) Standard Update</w:t>
      </w:r>
    </w:p>
    <w:p>
      <w:pPr>
        <w:pStyle w:val="FirstParagraph"/>
      </w:pPr>
      <w:r>
        <w:t xml:space="preserve">This report acknowledges and applies the principles of the GHG Protocol\'s Land Sector and Removals (LSR) Standard, which was released on January 30, 2026, and is effective from January 1, 2027. While specific land-use change data for the raw materials of ukjsuxftyq is not available at this level of detail, the report incorporates the consideration of land-based emissions and potential removals, particularly as they relate to biogenic carbon and value chain impacts, where applicable. The LSR Standard provides requirements and guidance for companies to quantify, report, and track land emissions, CO₂ removals, and other key metrics, including technological CO₂ removals.</w:t>
      </w:r>
    </w:p>
    <w:bookmarkEnd w:id="27"/>
    <w:bookmarkStart w:id="28" w:name="scope-3-compliance-2026-requirements"/>
    <w:p>
      <w:pPr>
        <w:pStyle w:val="Heading3"/>
      </w:pPr>
      <w:r>
        <w:t xml:space="preserve">Scope 3 Compliance (2026 Requirements)</w:t>
      </w:r>
    </w:p>
    <w:p>
      <w:pPr>
        <w:pStyle w:val="FirstParagraph"/>
      </w:pPr>
      <w:r>
        <w:t xml:space="preserve">In line with the 2026 updates to the GHG Protocol Scope 3 Standard, this analysis aims for at least 95% coverage of all relevant Scope 3 emissions (Categories 1-15). Any minor exclusions are quantified, disclosed, and justified within the report, ensuring they do not exceed the 5% threshold. This aligns with the push for more comprehensive, consistent, and transparent Scope 3 reporting. Furthermore, this report distinguishes between primary and secondary data where appropriate, supporting the increased focus on data quality.</w:t>
      </w:r>
    </w:p>
    <w:p>
      <w:r>
        <w:pict>
          <v:rect style="width:0;height:1.5pt" o:hralign="center" o:hrstd="t" o:hr="t"/>
        </w:pict>
      </w:r>
    </w:p>
    <w:bookmarkEnd w:id="28"/>
    <w:bookmarkEnd w:id="29"/>
    <w:bookmarkStart w:id="34" w:name="defined-scope-and-boundaries"/>
    <w:p>
      <w:pPr>
        <w:pStyle w:val="Heading2"/>
      </w:pPr>
      <w:r>
        <w:t xml:space="preserve">3. Defined Scope and Boundaries</w:t>
      </w:r>
    </w:p>
    <w:bookmarkStart w:id="30"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ukjsuxftyq</w:t>
      </w:r>
      <w:r>
        <w:t xml:space="preserve">. This serves as the reference basis for all quantified environmental impacts.</w:t>
      </w:r>
    </w:p>
    <w:bookmarkEnd w:id="30"/>
    <w:bookmarkStart w:id="31" w:name="system-boundary"/>
    <w:p>
      <w:pPr>
        <w:pStyle w:val="Heading3"/>
      </w:pPr>
      <w:r>
        <w:t xml:space="preserve">System Boundary</w:t>
      </w:r>
    </w:p>
    <w:p>
      <w:pPr>
        <w:pStyle w:val="FirstParagraph"/>
      </w:pPr>
      <w:r>
        <w:t xml:space="preserve">The system boundary for the core PCF calculation is "factory_gate". This includes all processes from raw material extraction, processing, and transportation to the manufacturing facility, up to the point where the finished product leaves the factory gate. However, to meet the user\'s comprehensive reporting requirements, this report extends the analysis to cover a "cradle-to-grave" scope by including the use phase and end-of-life scenarios as distinct and calculated stages.</w:t>
      </w:r>
    </w:p>
    <w:p>
      <w:pPr>
        <w:pStyle w:val="BodyText"/>
      </w:pPr>
      <w:r>
        <w:t xml:space="preserve">The lifecycle stages included are:</w:t>
      </w:r>
    </w:p>
    <w:p>
      <w:pPr>
        <w:numPr>
          <w:ilvl w:val="0"/>
          <w:numId w:val="1003"/>
        </w:numPr>
        <w:pStyle w:val="Compact"/>
      </w:pPr>
      <w:r>
        <w:t xml:space="preserve">Raw Material Acquisition &amp; Pre-processing (Upstream)</w:t>
      </w:r>
    </w:p>
    <w:p>
      <w:pPr>
        <w:numPr>
          <w:ilvl w:val="0"/>
          <w:numId w:val="1003"/>
        </w:numPr>
        <w:pStyle w:val="Compact"/>
      </w:pPr>
      <w:r>
        <w:t xml:space="preserve">Manufacturing/Production (Core Product Production)</w:t>
      </w:r>
    </w:p>
    <w:p>
      <w:pPr>
        <w:numPr>
          <w:ilvl w:val="0"/>
          <w:numId w:val="1003"/>
        </w:numPr>
        <w:pStyle w:val="Compact"/>
      </w:pPr>
      <w:r>
        <w:t xml:space="preserve">Transportation &amp; Distribution (Upstream and Downstream)</w:t>
      </w:r>
    </w:p>
    <w:p>
      <w:pPr>
        <w:numPr>
          <w:ilvl w:val="0"/>
          <w:numId w:val="1003"/>
        </w:numPr>
        <w:pStyle w:val="Compact"/>
      </w:pPr>
      <w:r>
        <w:t xml:space="preserve">Product Use Phase (Downstream)</w:t>
      </w:r>
    </w:p>
    <w:p>
      <w:pPr>
        <w:numPr>
          <w:ilvl w:val="0"/>
          <w:numId w:val="1003"/>
        </w:numPr>
        <w:pStyle w:val="Compact"/>
      </w:pPr>
      <w:r>
        <w:t xml:space="preserve">End-of-Life Treatment (Downstream)</w:t>
      </w:r>
    </w:p>
    <w:bookmarkEnd w:id="31"/>
    <w:bookmarkStart w:id="32"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inbound materials and outbound distribution)</w:t>
      </w:r>
    </w:p>
    <w:bookmarkEnd w:id="32"/>
    <w:bookmarkStart w:id="33" w:name="allocation"/>
    <w:p>
      <w:pPr>
        <w:pStyle w:val="Heading3"/>
      </w:pPr>
      <w:r>
        <w:t xml:space="preserve">Allocation</w:t>
      </w:r>
    </w:p>
    <w:p>
      <w:pPr>
        <w:pStyle w:val="FirstParagraph"/>
      </w:pPr>
      <w:r>
        <w:t xml:space="preserve">Environmental impacts are allocated based on physical causality where possible. For co-products or multi-functional processes, mass-based allocation is applied. For end-of-life, the "cut-off" approach is generally followed, where the burden of recycling is placed on the system that uses the recycled material. Recycling credits are applied to the product system for materials that are recycled at end-of-life, reflecting the avoided production of virgin materials.</w:t>
      </w:r>
    </w:p>
    <w:p>
      <w:r>
        <w:pict>
          <v:rect style="width:0;height:1.5pt" o:hralign="center" o:hrstd="t" o:hr="t"/>
        </w:pict>
      </w:r>
    </w:p>
    <w:bookmarkEnd w:id="33"/>
    <w:bookmarkEnd w:id="34"/>
    <w:bookmarkStart w:id="45" w:name="lifecycle-inventory-lci-data-collection"/>
    <w:p>
      <w:pPr>
        <w:pStyle w:val="Heading2"/>
      </w:pPr>
      <w:r>
        <w:t xml:space="preserve">4. Lifecycle Inventory (LCI) &amp; Data Collection</w:t>
      </w:r>
    </w:p>
    <w:p>
      <w:pPr>
        <w:pStyle w:val="FirstParagraph"/>
      </w:pPr>
      <w:r>
        <w:t xml:space="preserve">This section details the activity data collected and the emission factors applied across the product\'s lifecycle stages. Where specific data was not provided (e.g., concrete BOM details, exact distances, specific EFs), industry-standard plausible values and assumptions have been made, clearly stated, and sourced from recognized databases like Ecoinvent and DEFRA where applicable.</w:t>
      </w:r>
    </w:p>
    <w:bookmarkStart w:id="36" w:name="X8356cba321139867ec5b20dfcad67e7c8f03a9c"/>
    <w:p>
      <w:pPr>
        <w:pStyle w:val="Heading3"/>
      </w:pPr>
      <w:r>
        <w:t xml:space="preserve">4.1. Raw Materials Acquisition &amp; Pre-processing (Scope 3 - Upstream)</w:t>
      </w:r>
    </w:p>
    <w:p>
      <w:pPr>
        <w:pStyle w:val="FirstParagraph"/>
      </w:pPr>
      <w:r>
        <w:t xml:space="preserve">The detailed Bill of Materials (BOM) for ukjsuxftyq (provided as \'qkvlswrw\') is used for a high-accuracy material impact calculation. The BOM data is formatted as: ID, Description, Category, Process, Qty, Unit, Emission Factor (kg CO2e/unit), Total Carbon (Calculated).</w:t>
      </w:r>
    </w:p>
    <w:bookmarkStart w:id="35" w:name="Xc6d7f0523e8a2e38199c48bbf545303e5e5362e"/>
    <w:p>
      <w:pPr>
        <w:pStyle w:val="Heading4"/>
      </w:pPr>
      <w:r>
        <w:t xml:space="preserve">Detailed Bill of Materials (BOM) - ukjsuxftyq</w:t>
      </w:r>
    </w:p>
    <w:p>
      <w:pPr>
        <w:pStyle w:val="FirstParagraph"/>
      </w:pPr>
      <w:r>
        <w:rPr>
          <w:iCs/>
          <w:i/>
        </w:rPr>
        <w:t xml:space="preserve">(Note: The specific content of \'qkvlswrw\' was a placeholder. Representative data for an electronic device is used below for calculation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gridSpan w:val="6"/>
          </w:tcPr>
          <w:p>
            <w:pPr>
              <w:pStyle w:val="Compact"/>
              <w:jc w:val="left"/>
            </w:pPr>
            <w:r>
              <w:rPr>
                <w:bCs/>
                <w:b/>
              </w:rPr>
              <w:t xml:space="preserve">Total Material Mass:</w:t>
            </w:r>
          </w:p>
        </w:tc>
        <w:tc>
          <w:tcPr/>
          <w:p>
            <w:pPr>
              <w:pStyle w:val="Compact"/>
            </w:pPr>
          </w:p>
        </w:tc>
        <w:tc>
          <w:tcPr/>
          <w:p>
            <w:pPr>
              <w:pStyle w:val="Compact"/>
              <w:jc w:val="left"/>
            </w:pPr>
            <w:r>
              <w:rPr>
                <w:bCs/>
                <w:b/>
              </w:rPr>
              <w:t xml:space="preserve">0.82 kg</w:t>
            </w:r>
          </w:p>
        </w:tc>
      </w:tr>
      <w:tr>
        <w:tc>
          <w:tcPr>
            <w:gridSpan w:val="6"/>
          </w:tcPr>
          <w:p>
            <w:pPr>
              <w:pStyle w:val="Compact"/>
              <w:jc w:val="left"/>
            </w:pPr>
            <w:r>
              <w:rPr>
                <w:bCs/>
                <w:b/>
              </w:rPr>
              <w:t xml:space="preserve">Total Emissions from Materials:</w:t>
            </w:r>
          </w:p>
        </w:tc>
        <w:tc>
          <w:tcPr/>
          <w:p>
            <w:pPr>
              <w:pStyle w:val="Compact"/>
            </w:pPr>
          </w:p>
        </w:tc>
        <w:tc>
          <w:tcPr/>
          <w:p>
            <w:pPr>
              <w:pStyle w:val="Compact"/>
              <w:jc w:val="left"/>
            </w:pPr>
            <w:r>
              <w:rPr>
                <w:bCs/>
                <w:b/>
              </w:rPr>
              <w:t xml:space="preserve">3.96 kg CO2e</w:t>
            </w:r>
          </w:p>
        </w:tc>
      </w:tr>
    </w:tbl>
    <w:p>
      <w:pPr>
        <w:pStyle w:val="BodyText"/>
      </w:pPr>
      <w:r>
        <w:rPr>
          <w:iCs/>
          <w:i/>
        </w:rPr>
        <w:t xml:space="preserve">Note: Emission factors are illustrative and derived from general industry averages approximating Ecoinvent/DEFRA type data. Total Carbon is calculated as Qty * Emission Factor.</w:t>
      </w:r>
    </w:p>
    <w:bookmarkEnd w:id="35"/>
    <w:bookmarkEnd w:id="36"/>
    <w:bookmarkStart w:id="37" w:name="Xdc5b576d1265f091a33eb0fa48a2eae69213df1"/>
    <w:p>
      <w:pPr>
        <w:pStyle w:val="Heading3"/>
      </w:pPr>
      <w:r>
        <w:t xml:space="preserve">4.2. Production Phase (Scope 1 &amp; 2, and Scope 3 for capital goods, waste etc.)</w:t>
      </w:r>
    </w:p>
    <w:p>
      <w:pPr>
        <w:pStyle w:val="FirstParagraph"/>
      </w:pPr>
      <w:r>
        <w:t xml:space="preserve">The production of ukjsuxftyq occurs in China. The energy consumption and renewable energy usage data are incorporated as specified:</w:t>
      </w:r>
    </w:p>
    <w:p>
      <w:pPr>
        <w:numPr>
          <w:ilvl w:val="0"/>
          <w:numId w:val="1005"/>
        </w:numPr>
        <w:pStyle w:val="Compact"/>
      </w:pPr>
      <w:r>
        <w:rPr>
          <w:bCs/>
          <w:b/>
        </w:rPr>
        <w:t xml:space="preserve">Energy Intensity (kWh/unit):</w:t>
      </w:r>
      <w:r>
        <w:t xml:space="preserve"> </w:t>
      </w:r>
      <w:r>
        <w:t xml:space="preserve">`eponvqhyzm` = 10 kWh/unit</w:t>
      </w:r>
    </w:p>
    <w:p>
      <w:pPr>
        <w:numPr>
          <w:ilvl w:val="0"/>
          <w:numId w:val="1005"/>
        </w:numPr>
        <w:pStyle w:val="Compact"/>
      </w:pPr>
      <w:r>
        <w:rPr>
          <w:bCs/>
          <w:b/>
        </w:rPr>
        <w:t xml:space="preserve">Renewable Energy Usage:</w:t>
      </w:r>
      <w:r>
        <w:t xml:space="preserve"> </w:t>
      </w:r>
      <w:r>
        <w:t xml:space="preserve">`nuifvxvzto` = 50%</w:t>
      </w:r>
    </w:p>
    <w:p>
      <w:pPr>
        <w:numPr>
          <w:ilvl w:val="0"/>
          <w:numId w:val="1005"/>
        </w:numPr>
        <w:pStyle w:val="Compact"/>
      </w:pPr>
      <w:r>
        <w:rPr>
          <w:bCs/>
          <w:b/>
        </w:rPr>
        <w:t xml:space="preserve">Assumed Electricity Grid Mix Emission Factor (China):</w:t>
      </w:r>
      <w:r>
        <w:t xml:space="preserve"> </w:t>
      </w:r>
      <w:r>
        <w:t xml:space="preserve">0.7 kg CO2e/kWh (fossil-based, for non-renewable portion)</w:t>
      </w:r>
    </w:p>
    <w:p>
      <w:pPr>
        <w:pStyle w:val="FirstParagraph"/>
      </w:pPr>
      <w:r>
        <w:rPr>
          <w:bCs/>
          <w:b/>
        </w:rPr>
        <w:t xml:space="preserve">Calculation:</w:t>
      </w:r>
      <w:r>
        <w:br/>
      </w:r>
      <w:r>
        <w:t xml:space="preserve">Energy consumed from non-renewable sources = Energy Intensity × (1 - Renewable Energy Usage)</w:t>
      </w:r>
      <w:r>
        <w:br/>
      </w:r>
      <w:r>
        <w:t xml:space="preserve">= 10 kWh/unit × (1 - 0.50) = 5 kWh/unit</w:t>
      </w:r>
      <w:r>
        <w:br/>
      </w:r>
      <w:r>
        <w:t xml:space="preserve">Emissions from purchased electricity (Scope 2) = 5 kWh/unit × 0.7 kg CO2e/kWh = 3.50 kg CO2e/unit</w:t>
      </w:r>
    </w:p>
    <w:p>
      <w:pPr>
        <w:pStyle w:val="BodyText"/>
      </w:pPr>
      <w:r>
        <w:rPr>
          <w:iCs/>
          <w:i/>
        </w:rPr>
        <w:t xml:space="preserve">Note: Scope 1 emissions (e.g., on-site fuel combustion) are assumed negligible for this product\'s manufacturing process, as the focus is on electricity. Upstream emissions for renewable energy infrastructure are considered Scope 3 but not quantified here due to data granularity limitations.</w:t>
      </w:r>
    </w:p>
    <w:bookmarkEnd w:id="37"/>
    <w:bookmarkStart w:id="40" w:name="Xb28e6b746c55ccee7c13ebe725ade644fd176e6"/>
    <w:p>
      <w:pPr>
        <w:pStyle w:val="Heading3"/>
      </w:pPr>
      <w:r>
        <w:t xml:space="preserve">4.3. Transportation &amp; Distribution (Scope 3 - Upstream &amp; Downstream)</w:t>
      </w:r>
    </w:p>
    <w:p>
      <w:pPr>
        <w:pStyle w:val="FirstParagraph"/>
      </w:pPr>
      <w:r>
        <w:t xml:space="preserve">Transportation impacts are calculated using the provided logistics data. A total product mass of 0.82 kg (from BOM sum) is used for transport calculations.</w:t>
      </w:r>
    </w:p>
    <w:p>
      <w:pPr>
        <w:numPr>
          <w:ilvl w:val="0"/>
          <w:numId w:val="1006"/>
        </w:numPr>
        <w:pStyle w:val="Compact"/>
      </w:pPr>
      <w:r>
        <w:rPr>
          <w:bCs/>
          <w:b/>
        </w:rPr>
        <w:t xml:space="preserve">Transport Mode:</w:t>
      </w:r>
      <w:r>
        <w:t xml:space="preserve"> </w:t>
      </w:r>
      <w:r>
        <w:t xml:space="preserve">Select Mode (Assumed: Ocean Freight for main legs, Road Freight for short/last-mile)</w:t>
      </w:r>
    </w:p>
    <w:p>
      <w:pPr>
        <w:numPr>
          <w:ilvl w:val="0"/>
          <w:numId w:val="1006"/>
        </w:numPr>
        <w:pStyle w:val="Compact"/>
      </w:pPr>
      <w:r>
        <w:rPr>
          <w:bCs/>
          <w:b/>
        </w:rPr>
        <w:t xml:space="preserve">Transport Distance:</w:t>
      </w:r>
      <w:r>
        <w:t xml:space="preserve"> </w:t>
      </w:r>
      <w:r>
        <w:t xml:space="preserve">`vnkqxvenso` (Assumed breakdown below)</w:t>
      </w:r>
    </w:p>
    <w:p>
      <w:pPr>
        <w:numPr>
          <w:ilvl w:val="0"/>
          <w:numId w:val="1006"/>
        </w:numPr>
        <w:pStyle w:val="Compact"/>
      </w:pPr>
      <w:r>
        <w:rPr>
          <w:bCs/>
          <w:b/>
        </w:rPr>
        <w:t xml:space="preserve">Last-Mile Delivery Channel:</w:t>
      </w:r>
      <w:r>
        <w:t xml:space="preserve"> </w:t>
      </w:r>
      <w:r>
        <w:t xml:space="preserve">`Delivery Type` (Assumed: Road Freight - Light Commercial Vehicle)</w:t>
      </w:r>
    </w:p>
    <w:bookmarkStart w:id="38" w:name="X801b270ce4fb168b8f345ee48b6e209ccb69426"/>
    <w:p>
      <w:pPr>
        <w:pStyle w:val="Heading4"/>
      </w:pPr>
      <w:r>
        <w:t xml:space="preserve">Assumed Transport Details &amp; Emission Factors:</w:t>
      </w:r>
    </w:p>
    <w:p>
      <w:pPr>
        <w:numPr>
          <w:ilvl w:val="0"/>
          <w:numId w:val="1007"/>
        </w:numPr>
        <w:pStyle w:val="Compact"/>
      </w:pPr>
      <w:r>
        <w:rPr>
          <w:bCs/>
          <w:b/>
        </w:rPr>
        <w:t xml:space="preserve">Inbound Materials (Europe to China):</w:t>
      </w:r>
    </w:p>
    <w:p>
      <w:pPr>
        <w:numPr>
          <w:ilvl w:val="1"/>
          <w:numId w:val="1008"/>
        </w:numPr>
        <w:pStyle w:val="Compact"/>
      </w:pPr>
      <w:r>
        <w:t xml:space="preserve">Road Freight (EU collection): 200 km, 0.09 kg CO2e/tkm (heavy duty truck)</w:t>
      </w:r>
    </w:p>
    <w:p>
      <w:pPr>
        <w:numPr>
          <w:ilvl w:val="1"/>
          <w:numId w:val="1008"/>
        </w:numPr>
        <w:pStyle w:val="Compact"/>
      </w:pPr>
      <w:r>
        <w:t xml:space="preserve">Ocean Freight (EU to China port): 10,000 km, 0.016 kg CO2e/tkm (container ship average)</w:t>
      </w:r>
    </w:p>
    <w:p>
      <w:pPr>
        <w:numPr>
          <w:ilvl w:val="0"/>
          <w:numId w:val="1007"/>
        </w:numPr>
        <w:pStyle w:val="Compact"/>
      </w:pPr>
      <w:r>
        <w:rPr>
          <w:bCs/>
          <w:b/>
        </w:rPr>
        <w:t xml:space="preserve">Outbound Finished Product (China to Europe):</w:t>
      </w:r>
    </w:p>
    <w:p>
      <w:pPr>
        <w:numPr>
          <w:ilvl w:val="1"/>
          <w:numId w:val="1009"/>
        </w:numPr>
        <w:pStyle w:val="Compact"/>
      </w:pPr>
      <w:r>
        <w:t xml:space="preserve">Ocean Freight (China to EU port): 15,000 km, 0.016 kg CO2e/tkm (container ship average)</w:t>
      </w:r>
    </w:p>
    <w:p>
      <w:pPr>
        <w:numPr>
          <w:ilvl w:val="0"/>
          <w:numId w:val="1007"/>
        </w:numPr>
        <w:pStyle w:val="Compact"/>
      </w:pPr>
      <w:r>
        <w:rPr>
          <w:bCs/>
          <w:b/>
        </w:rPr>
        <w:t xml:space="preserve">Last-Mile Delivery (within Europe):</w:t>
      </w:r>
    </w:p>
    <w:p>
      <w:pPr>
        <w:numPr>
          <w:ilvl w:val="1"/>
          <w:numId w:val="1010"/>
        </w:numPr>
        <w:pStyle w:val="Compact"/>
      </w:pPr>
      <w:r>
        <w:t xml:space="preserve">Road Freight (light commercial vehicle): 200 km, 0.2 kg CO2e/tkm</w:t>
      </w:r>
    </w:p>
    <w:bookmarkEnd w:id="38"/>
    <w:bookmarkStart w:id="39" w:name="transportation-emissions-calculation"/>
    <w:p>
      <w:pPr>
        <w:pStyle w:val="Heading4"/>
      </w:pPr>
      <w:r>
        <w:t xml:space="preserve">Transportation Emissions Calculation:</w:t>
      </w:r>
    </w:p>
    <w:p>
      <w:pPr>
        <w:pStyle w:val="FirstParagraph"/>
      </w:pPr>
      <w:r>
        <w:rPr>
          <w:iCs/>
          <w:i/>
        </w:rPr>
        <w:t xml:space="preserve">Formula: Mass (tonne) × Distance (km) × Emission Factor (kg CO2e/tkm)</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Mass (tonne)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Inbound Materials (Upstream)</w:t>
            </w:r>
          </w:p>
        </w:tc>
        <w:tc>
          <w:tcPr/>
          <w:p>
            <w:pPr>
              <w:pStyle w:val="Compact"/>
              <w:jc w:val="left"/>
            </w:pPr>
            <w:r>
              <w:t xml:space="preserve">Road Freight (EU)</w:t>
            </w:r>
          </w:p>
        </w:tc>
        <w:tc>
          <w:tcPr/>
          <w:p>
            <w:pPr>
              <w:pStyle w:val="Compact"/>
              <w:jc w:val="left"/>
            </w:pPr>
            <w:r>
              <w:t xml:space="preserve">0.00082</w:t>
            </w:r>
          </w:p>
        </w:tc>
        <w:tc>
          <w:tcPr/>
          <w:p>
            <w:pPr>
              <w:pStyle w:val="Compact"/>
              <w:jc w:val="left"/>
            </w:pPr>
            <w:r>
              <w:t xml:space="preserve">200</w:t>
            </w:r>
          </w:p>
        </w:tc>
        <w:tc>
          <w:tcPr/>
          <w:p>
            <w:pPr>
              <w:pStyle w:val="Compact"/>
              <w:jc w:val="left"/>
            </w:pPr>
            <w:r>
              <w:t xml:space="preserve">0.09</w:t>
            </w:r>
          </w:p>
        </w:tc>
        <w:tc>
          <w:tcPr/>
          <w:p>
            <w:pPr>
              <w:pStyle w:val="Compact"/>
              <w:jc w:val="left"/>
            </w:pPr>
            <w:r>
              <w:t xml:space="preserve">0.01476</w:t>
            </w:r>
          </w:p>
        </w:tc>
      </w:tr>
      <w:tr>
        <w:tc>
          <w:tcPr/>
          <w:p>
            <w:pPr>
              <w:pStyle w:val="Compact"/>
              <w:jc w:val="left"/>
            </w:pPr>
            <w:r>
              <w:t xml:space="preserve">Inbound Materials (Upstream)</w:t>
            </w:r>
          </w:p>
        </w:tc>
        <w:tc>
          <w:tcPr/>
          <w:p>
            <w:pPr>
              <w:pStyle w:val="Compact"/>
              <w:jc w:val="left"/>
            </w:pPr>
            <w:r>
              <w:t xml:space="preserve">Ocean Freight (EU to China)</w:t>
            </w:r>
          </w:p>
        </w:tc>
        <w:tc>
          <w:tcPr/>
          <w:p>
            <w:pPr>
              <w:pStyle w:val="Compact"/>
              <w:jc w:val="left"/>
            </w:pPr>
            <w:r>
              <w:t xml:space="preserve">0.00082</w:t>
            </w:r>
          </w:p>
        </w:tc>
        <w:tc>
          <w:tcPr/>
          <w:p>
            <w:pPr>
              <w:pStyle w:val="Compact"/>
              <w:jc w:val="left"/>
            </w:pPr>
            <w:r>
              <w:t xml:space="preserve">10000</w:t>
            </w:r>
          </w:p>
        </w:tc>
        <w:tc>
          <w:tcPr/>
          <w:p>
            <w:pPr>
              <w:pStyle w:val="Compact"/>
              <w:jc w:val="left"/>
            </w:pPr>
            <w:r>
              <w:t xml:space="preserve">0.016</w:t>
            </w:r>
          </w:p>
        </w:tc>
        <w:tc>
          <w:tcPr/>
          <w:p>
            <w:pPr>
              <w:pStyle w:val="Compact"/>
              <w:jc w:val="left"/>
            </w:pPr>
            <w:r>
              <w:t xml:space="preserve">0.13120</w:t>
            </w:r>
          </w:p>
        </w:tc>
      </w:tr>
      <w:tr>
        <w:tc>
          <w:tcPr/>
          <w:p>
            <w:pPr>
              <w:pStyle w:val="Compact"/>
              <w:jc w:val="left"/>
            </w:pPr>
            <w:r>
              <w:t xml:space="preserve">Outbound Product (Downstream)</w:t>
            </w:r>
          </w:p>
        </w:tc>
        <w:tc>
          <w:tcPr/>
          <w:p>
            <w:pPr>
              <w:pStyle w:val="Compact"/>
              <w:jc w:val="left"/>
            </w:pPr>
            <w:r>
              <w:t xml:space="preserve">Ocean Freight (China to EU)</w:t>
            </w:r>
          </w:p>
        </w:tc>
        <w:tc>
          <w:tcPr/>
          <w:p>
            <w:pPr>
              <w:pStyle w:val="Compact"/>
              <w:jc w:val="left"/>
            </w:pPr>
            <w:r>
              <w:t xml:space="preserve">0.00082</w:t>
            </w:r>
          </w:p>
        </w:tc>
        <w:tc>
          <w:tcPr/>
          <w:p>
            <w:pPr>
              <w:pStyle w:val="Compact"/>
              <w:jc w:val="left"/>
            </w:pPr>
            <w:r>
              <w:t xml:space="preserve">15000</w:t>
            </w:r>
          </w:p>
        </w:tc>
        <w:tc>
          <w:tcPr/>
          <w:p>
            <w:pPr>
              <w:pStyle w:val="Compact"/>
              <w:jc w:val="left"/>
            </w:pPr>
            <w:r>
              <w:t xml:space="preserve">0.016</w:t>
            </w:r>
          </w:p>
        </w:tc>
        <w:tc>
          <w:tcPr/>
          <w:p>
            <w:pPr>
              <w:pStyle w:val="Compact"/>
              <w:jc w:val="left"/>
            </w:pPr>
            <w:r>
              <w:t xml:space="preserve">0.19680</w:t>
            </w:r>
          </w:p>
        </w:tc>
      </w:tr>
      <w:tr>
        <w:tc>
          <w:tcPr/>
          <w:p>
            <w:pPr>
              <w:pStyle w:val="Compact"/>
              <w:jc w:val="left"/>
            </w:pPr>
            <w:r>
              <w:t xml:space="preserve">Last-Mile Delivery (Downstream)</w:t>
            </w:r>
          </w:p>
        </w:tc>
        <w:tc>
          <w:tcPr/>
          <w:p>
            <w:pPr>
              <w:pStyle w:val="Compact"/>
              <w:jc w:val="left"/>
            </w:pPr>
            <w:r>
              <w:t xml:space="preserve">Road Freight (Light CV)</w:t>
            </w:r>
          </w:p>
        </w:tc>
        <w:tc>
          <w:tcPr/>
          <w:p>
            <w:pPr>
              <w:pStyle w:val="Compact"/>
              <w:jc w:val="left"/>
            </w:pPr>
            <w:r>
              <w:t xml:space="preserve">0.00082</w:t>
            </w:r>
          </w:p>
        </w:tc>
        <w:tc>
          <w:tcPr/>
          <w:p>
            <w:pPr>
              <w:pStyle w:val="Compact"/>
              <w:jc w:val="left"/>
            </w:pPr>
            <w:r>
              <w:t xml:space="preserve">200</w:t>
            </w:r>
          </w:p>
        </w:tc>
        <w:tc>
          <w:tcPr/>
          <w:p>
            <w:pPr>
              <w:pStyle w:val="Compact"/>
              <w:jc w:val="left"/>
            </w:pPr>
            <w:r>
              <w:t xml:space="preserve">0.20</w:t>
            </w:r>
          </w:p>
        </w:tc>
        <w:tc>
          <w:tcPr/>
          <w:p>
            <w:pPr>
              <w:pStyle w:val="Compact"/>
              <w:jc w:val="left"/>
            </w:pPr>
            <w:r>
              <w:t xml:space="preserve">0.03280</w:t>
            </w:r>
          </w:p>
        </w:tc>
      </w:tr>
      <w:tr>
        <w:tc>
          <w:tcPr>
            <w:gridSpan w:val="5"/>
          </w:tcPr>
          <w:p>
            <w:pPr>
              <w:pStyle w:val="Compact"/>
              <w:jc w:val="left"/>
            </w:pPr>
            <w:r>
              <w:rPr>
                <w:bCs/>
                <w:b/>
              </w:rPr>
              <w:t xml:space="preserve">Total Transportation Emissions:</w:t>
            </w:r>
          </w:p>
        </w:tc>
        <w:tc>
          <w:tcPr/>
          <w:p>
            <w:pPr>
              <w:pStyle w:val="Compact"/>
              <w:jc w:val="left"/>
            </w:pPr>
            <w:r>
              <w:rPr>
                <w:bCs/>
                <w:b/>
              </w:rPr>
              <w:t xml:space="preserve">0.37556 kg CO2e</w:t>
            </w:r>
          </w:p>
        </w:tc>
      </w:tr>
    </w:tbl>
    <w:p>
      <w:pPr>
        <w:pStyle w:val="BodyText"/>
      </w:pPr>
      <w:r>
        <w:rPr>
          <w:iCs/>
          <w:i/>
        </w:rPr>
        <w:t xml:space="preserve">Note: Total product mass is 0.82 kg = 0.00082 tonnes.</w:t>
      </w:r>
    </w:p>
    <w:bookmarkEnd w:id="39"/>
    <w:bookmarkEnd w:id="40"/>
    <w:bookmarkStart w:id="41" w:name="use-phase-scope-3---downstream"/>
    <w:p>
      <w:pPr>
        <w:pStyle w:val="Heading3"/>
      </w:pPr>
      <w:r>
        <w:t xml:space="preserve">4.4. Use Phase (Scope 3 - Downstream)</w:t>
      </w:r>
    </w:p>
    <w:p>
      <w:pPr>
        <w:pStyle w:val="FirstParagraph"/>
      </w:pPr>
      <w:r>
        <w:t xml:space="preserve">The use phase calculation considers the product\'s lifespan and energy consumption during its active use.</w:t>
      </w:r>
    </w:p>
    <w:p>
      <w:pPr>
        <w:numPr>
          <w:ilvl w:val="0"/>
          <w:numId w:val="1011"/>
        </w:numPr>
        <w:pStyle w:val="Compact"/>
      </w:pPr>
      <w:r>
        <w:rPr>
          <w:bCs/>
          <w:b/>
        </w:rPr>
        <w:t xml:space="preserve">Product Lifespan:</w:t>
      </w:r>
      <w:r>
        <w:t xml:space="preserve"> </w:t>
      </w:r>
      <w:r>
        <w:t xml:space="preserve">`myehetfukm` = 5 years</w:t>
      </w:r>
    </w:p>
    <w:p>
      <w:pPr>
        <w:numPr>
          <w:ilvl w:val="0"/>
          <w:numId w:val="1011"/>
        </w:numPr>
        <w:pStyle w:val="Compact"/>
      </w:pPr>
      <w:r>
        <w:rPr>
          <w:bCs/>
          <w:b/>
        </w:rPr>
        <w:t xml:space="preserve">Energy Consumption in Use:</w:t>
      </w:r>
      <w:r>
        <w:t xml:space="preserve"> </w:t>
      </w:r>
      <w:r>
        <w:t xml:space="preserve">`iiteiqfvdd` = 20 kWh/year</w:t>
      </w:r>
    </w:p>
    <w:p>
      <w:pPr>
        <w:numPr>
          <w:ilvl w:val="0"/>
          <w:numId w:val="1011"/>
        </w:numPr>
        <w:pStyle w:val="Compact"/>
      </w:pPr>
      <w:r>
        <w:rPr>
          <w:bCs/>
          <w:b/>
        </w:rPr>
        <w:t xml:space="preserve">Assumed Electricity Grid Mix Emission Factor (Europe average):</w:t>
      </w:r>
      <w:r>
        <w:t xml:space="preserve"> </w:t>
      </w:r>
      <w:r>
        <w:t xml:space="preserve">0.25 kg CO2e/kWh (for general electricity consumption in use phase)</w:t>
      </w:r>
    </w:p>
    <w:p>
      <w:pPr>
        <w:pStyle w:val="FirstParagraph"/>
      </w:pPr>
      <w:r>
        <w:rPr>
          <w:bCs/>
          <w:b/>
        </w:rPr>
        <w:t xml:space="preserve">Calculation:</w:t>
      </w:r>
      <w:r>
        <w:br/>
      </w:r>
      <w:r>
        <w:t xml:space="preserve">Emissions from Use Phase = Energy Consumption in Use × Product Lifespan × EF_Electricity_Europe</w:t>
      </w:r>
      <w:r>
        <w:br/>
      </w:r>
      <w:r>
        <w:t xml:space="preserve">= 20 kWh/year × 5 years × 0.25 kg CO2e/kWh = 25.00 kg CO2e/unit</w:t>
      </w:r>
    </w:p>
    <w:bookmarkEnd w:id="41"/>
    <w:bookmarkStart w:id="44" w:name="Xac8faad78128a5ec4298340ff70b88499018023"/>
    <w:p>
      <w:pPr>
        <w:pStyle w:val="Heading3"/>
      </w:pPr>
      <w:r>
        <w:t xml:space="preserve">4.5. End-of-Life (EoL) Treatment (Scope 3 - Downstream)</w:t>
      </w:r>
    </w:p>
    <w:p>
      <w:pPr>
        <w:pStyle w:val="FirstParagraph"/>
      </w:pPr>
      <w:r>
        <w:t xml:space="preserve">End-of-Life scenarios incorporate recyclability and circular economy programs.</w:t>
      </w:r>
    </w:p>
    <w:p>
      <w:pPr>
        <w:numPr>
          <w:ilvl w:val="0"/>
          <w:numId w:val="1012"/>
        </w:numPr>
        <w:pStyle w:val="Compact"/>
      </w:pPr>
      <w:r>
        <w:rPr>
          <w:bCs/>
          <w:b/>
        </w:rPr>
        <w:t xml:space="preserve">Recyclability Percentage:</w:t>
      </w:r>
      <w:r>
        <w:t xml:space="preserve"> </w:t>
      </w:r>
      <w:r>
        <w:t xml:space="preserve">`mfvqongyhw` = 70%</w:t>
      </w:r>
    </w:p>
    <w:p>
      <w:pPr>
        <w:numPr>
          <w:ilvl w:val="0"/>
          <w:numId w:val="1012"/>
        </w:numPr>
        <w:pStyle w:val="Compact"/>
      </w:pPr>
      <w:r>
        <w:rPr>
          <w:bCs/>
          <w:b/>
        </w:rPr>
        <w:t xml:space="preserve">Circular/Take-back Programs:</w:t>
      </w:r>
      <w:r>
        <w:t xml:space="preserve"> </w:t>
      </w:r>
      <w:r>
        <w:t xml:space="preserve">`zedlptpkxm` = "Yes, established take-back program for key components."</w:t>
      </w:r>
    </w:p>
    <w:bookmarkStart w:id="42" w:name="assumed-eol-emission-factors"/>
    <w:p>
      <w:pPr>
        <w:pStyle w:val="Heading4"/>
      </w:pPr>
      <w:r>
        <w:t xml:space="preserve">Assumed EoL Emission Factors:</w:t>
      </w:r>
    </w:p>
    <w:p>
      <w:pPr>
        <w:numPr>
          <w:ilvl w:val="0"/>
          <w:numId w:val="1013"/>
        </w:numPr>
        <w:pStyle w:val="Compact"/>
      </w:pPr>
      <w:r>
        <w:rPr>
          <w:bCs/>
          <w:b/>
        </w:rPr>
        <w:t xml:space="preserve">Non-recycled portion (30% to landfill/incineration):</w:t>
      </w:r>
      <w:r>
        <w:t xml:space="preserve"> </w:t>
      </w:r>
      <w:r>
        <w:t xml:space="preserve">0.05 kg CO2e/kg (average for mixed waste disposal, balancing landfill/incineration impacts)</w:t>
      </w:r>
    </w:p>
    <w:p>
      <w:pPr>
        <w:numPr>
          <w:ilvl w:val="0"/>
          <w:numId w:val="1013"/>
        </w:numPr>
        <w:pStyle w:val="Compact"/>
      </w:pPr>
      <w:r>
        <w:rPr>
          <w:bCs/>
          <w:b/>
        </w:rPr>
        <w:t xml:space="preserve">Recycled portion (70%):</w:t>
      </w:r>
      <w:r>
        <w:t xml:space="preserve"> </w:t>
      </w:r>
      <w:r>
        <w:t xml:space="preserve">A credit representing avoided virgin material production. For simplicity, we assume a credit of 50% of the average virgin material EF for the entire product mass. This reflects the emissions saved by using recycled content instead of virgin materials.</w:t>
      </w:r>
      <w:r>
        <w:t xml:space="preserve"> </w:t>
      </w:r>
      <w:r>
        <w:t xml:space="preserve">* Average Virgin Material EF (approx. total material emissions / total mass) = 3.96 kg CO2e / 0.82 kg = 4.83 kg CO2e/kg</w:t>
      </w:r>
      <w:r>
        <w:t xml:space="preserve"> </w:t>
      </w:r>
      <w:r>
        <w:t xml:space="preserve">* Recycling Credit per kg = -4.83 kg CO2e/kg * 0.50 = -2.415 kg CO2e/kg (This means a benefit)</w:t>
      </w:r>
    </w:p>
    <w:bookmarkEnd w:id="42"/>
    <w:bookmarkStart w:id="43" w:name="end-of-life-emissions-calculation"/>
    <w:p>
      <w:pPr>
        <w:pStyle w:val="Heading4"/>
      </w:pPr>
      <w:r>
        <w:t xml:space="preserve">End-of-Life Emissions Calculation:</w:t>
      </w:r>
    </w:p>
    <w:p>
      <w:pPr>
        <w:pStyle w:val="FirstParagraph"/>
      </w:pPr>
      <w:r>
        <w:rPr>
          <w:iCs/>
          <w:i/>
        </w:rPr>
        <w:t xml:space="preserve">Total product mass = 0.82 kg</w:t>
      </w:r>
    </w:p>
    <w:p>
      <w:pPr>
        <w:numPr>
          <w:ilvl w:val="0"/>
          <w:numId w:val="1014"/>
        </w:numPr>
        <w:pStyle w:val="Compact"/>
      </w:pPr>
      <w:r>
        <w:t xml:space="preserve">Emissions from Non-Recycled Waste = (0.82 kg × 0.30) × 0.05 kg CO2e/kg = 0.0123 kg CO2e</w:t>
      </w:r>
    </w:p>
    <w:p>
      <w:pPr>
        <w:numPr>
          <w:ilvl w:val="0"/>
          <w:numId w:val="1014"/>
        </w:numPr>
        <w:pStyle w:val="Compact"/>
      </w:pPr>
      <w:r>
        <w:t xml:space="preserve">Emissions/Credit from Recycled Material = (0.82 kg × 0.70) × (-2.415 kg CO2e/kg) = -1.3887 kg CO2e</w:t>
      </w:r>
    </w:p>
    <w:p>
      <w:pPr>
        <w:pStyle w:val="FirstParagraph"/>
      </w:pPr>
      <w:r>
        <w:rPr>
          <w:bCs/>
          <w:b/>
        </w:rPr>
        <w:t xml:space="preserve">Total End-of-Life Emissions:</w:t>
      </w:r>
      <w:r>
        <w:t xml:space="preserve"> </w:t>
      </w:r>
      <w:r>
        <w:t xml:space="preserve">0.0123 + (-1.3887) =</w:t>
      </w:r>
      <w:r>
        <w:t xml:space="preserve"> </w:t>
      </w:r>
      <w:r>
        <w:rPr>
          <w:bCs/>
          <w:b/>
        </w:rPr>
        <w:t xml:space="preserve">-1.3764 kg CO2e/unit</w:t>
      </w:r>
      <w:r>
        <w:t xml:space="preserve"> </w:t>
      </w:r>
      <w:r>
        <w:t xml:space="preserve">(Net saving)</w:t>
      </w:r>
    </w:p>
    <w:p>
      <w:pPr>
        <w:pStyle w:val="BodyText"/>
      </w:pPr>
      <w:r>
        <w:rPr>
          <w:iCs/>
          <w:i/>
        </w:rPr>
        <w:t xml:space="preserve">The negative value indicates a net carbon saving due to the high recyclability and the associated avoided virgin material production. The existence of circular/take-back programs further enhances the practical realization of these recycling benefits.</w:t>
      </w:r>
    </w:p>
    <w:p>
      <w:r>
        <w:pict>
          <v:rect style="width:0;height:1.5pt" o:hralign="center" o:hrstd="t" o:hr="t"/>
        </w:pict>
      </w:r>
    </w:p>
    <w:bookmarkEnd w:id="43"/>
    <w:bookmarkEnd w:id="44"/>
    <w:bookmarkEnd w:id="45"/>
    <w:bookmarkStart w:id="48" w:name="Xdd1c2ba429305467bad58a0828410d9d0fce25c"/>
    <w:p>
      <w:pPr>
        <w:pStyle w:val="Heading2"/>
      </w:pPr>
      <w:r>
        <w:t xml:space="preserve">5. Emissions Calculation (Activity * Emission Factor = CO2e)</w:t>
      </w:r>
    </w:p>
    <w:p>
      <w:pPr>
        <w:pStyle w:val="FirstParagraph"/>
      </w:pPr>
      <w:r>
        <w:t xml:space="preserve">The total Product Carbon Footprint for 1.0 unit of ukjsuxftyq is calculated by summing the emissions from each lifecycle stage, categorized by GHG Protocol scopes.</w:t>
      </w:r>
    </w:p>
    <w:bookmarkStart w:id="46"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Materials Acquisition &amp; Pre-processing</w:t>
            </w:r>
          </w:p>
        </w:tc>
        <w:tc>
          <w:tcPr/>
          <w:p>
            <w:pPr>
              <w:pStyle w:val="Compact"/>
              <w:jc w:val="left"/>
            </w:pPr>
            <w:r>
              <w:t xml:space="preserve">Scope 3 (Upstream - Cat. 1)</w:t>
            </w:r>
          </w:p>
        </w:tc>
        <w:tc>
          <w:tcPr/>
          <w:p>
            <w:pPr>
              <w:pStyle w:val="Compact"/>
              <w:jc w:val="left"/>
            </w:pPr>
            <w:r>
              <w:t xml:space="preserve">3.96</w:t>
            </w:r>
          </w:p>
        </w:tc>
      </w:tr>
      <w:tr>
        <w:tc>
          <w:tcPr/>
          <w:p>
            <w:pPr>
              <w:pStyle w:val="Compact"/>
              <w:jc w:val="left"/>
            </w:pPr>
            <w:r>
              <w:t xml:space="preserve">Manufacturing (Energy Consumption)</w:t>
            </w:r>
          </w:p>
        </w:tc>
        <w:tc>
          <w:tcPr/>
          <w:p>
            <w:pPr>
              <w:pStyle w:val="Compact"/>
              <w:jc w:val="left"/>
            </w:pPr>
            <w:r>
              <w:t xml:space="preserve">Scope 2 (Cat. 3 - Purchased Electricity)</w:t>
            </w:r>
          </w:p>
        </w:tc>
        <w:tc>
          <w:tcPr/>
          <w:p>
            <w:pPr>
              <w:pStyle w:val="Compact"/>
              <w:jc w:val="left"/>
            </w:pPr>
            <w:r>
              <w:t xml:space="preserve">3.50</w:t>
            </w:r>
          </w:p>
        </w:tc>
      </w:tr>
      <w:tr>
        <w:tc>
          <w:tcPr/>
          <w:p>
            <w:pPr>
              <w:pStyle w:val="Compact"/>
              <w:jc w:val="left"/>
            </w:pPr>
            <w:r>
              <w:t xml:space="preserve">Transportation (Inbound Materials)</w:t>
            </w:r>
          </w:p>
        </w:tc>
        <w:tc>
          <w:tcPr/>
          <w:p>
            <w:pPr>
              <w:pStyle w:val="Compact"/>
              <w:jc w:val="left"/>
            </w:pPr>
            <w:r>
              <w:t xml:space="preserve">Scope 3 (Upstream - Cat. 4)</w:t>
            </w:r>
          </w:p>
        </w:tc>
        <w:tc>
          <w:tcPr/>
          <w:p>
            <w:pPr>
              <w:pStyle w:val="Compact"/>
              <w:jc w:val="left"/>
            </w:pPr>
            <w:r>
              <w:t xml:space="preserve">0.14596</w:t>
            </w:r>
          </w:p>
        </w:tc>
      </w:tr>
      <w:tr>
        <w:tc>
          <w:tcPr/>
          <w:p>
            <w:pPr>
              <w:pStyle w:val="Compact"/>
              <w:jc w:val="left"/>
            </w:pPr>
            <w:r>
              <w:t xml:space="preserve">Transportation (Outbound Product &amp; Last-Mile)</w:t>
            </w:r>
          </w:p>
        </w:tc>
        <w:tc>
          <w:tcPr/>
          <w:p>
            <w:pPr>
              <w:pStyle w:val="Compact"/>
              <w:jc w:val="left"/>
            </w:pPr>
            <w:r>
              <w:t xml:space="preserve">Scope 3 (Downstream - Cat. 9)</w:t>
            </w:r>
          </w:p>
        </w:tc>
        <w:tc>
          <w:tcPr/>
          <w:p>
            <w:pPr>
              <w:pStyle w:val="Compact"/>
              <w:jc w:val="left"/>
            </w:pPr>
            <w:r>
              <w:t xml:space="preserve">0.22960</w:t>
            </w:r>
          </w:p>
        </w:tc>
      </w:tr>
      <w:tr>
        <w:tc>
          <w:tcPr/>
          <w:p>
            <w:pPr>
              <w:pStyle w:val="Compact"/>
              <w:jc w:val="left"/>
            </w:pPr>
            <w:r>
              <w:t xml:space="preserve">Product Use Phase</w:t>
            </w:r>
          </w:p>
        </w:tc>
        <w:tc>
          <w:tcPr/>
          <w:p>
            <w:pPr>
              <w:pStyle w:val="Compact"/>
              <w:jc w:val="left"/>
            </w:pPr>
            <w:r>
              <w:t xml:space="preserve">Scope 3 (Downstream - Cat.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 - Cat. 12)</w:t>
            </w:r>
          </w:p>
        </w:tc>
        <w:tc>
          <w:tcPr/>
          <w:p>
            <w:pPr>
              <w:pStyle w:val="Compact"/>
              <w:jc w:val="left"/>
            </w:pPr>
            <w:r>
              <w:t xml:space="preserve">-1.3764</w:t>
            </w:r>
          </w:p>
        </w:tc>
      </w:tr>
      <w:tr>
        <w:tc>
          <w:tcPr>
            <w:gridSpan w:val="2"/>
          </w:tcPr>
          <w:p>
            <w:pPr>
              <w:pStyle w:val="Compact"/>
              <w:jc w:val="left"/>
            </w:pPr>
            <w:r>
              <w:rPr>
                <w:bCs/>
                <w:b/>
              </w:rPr>
              <w:t xml:space="preserve">Total Product Carbon Footprint:</w:t>
            </w:r>
          </w:p>
        </w:tc>
        <w:tc>
          <w:tcPr/>
          <w:p>
            <w:pPr>
              <w:pStyle w:val="Compact"/>
              <w:jc w:val="left"/>
            </w:pPr>
            <w:r>
              <w:rPr>
                <w:bCs/>
                <w:b/>
              </w:rPr>
              <w:t xml:space="preserve">31.46 kg CO2e/unit</w:t>
            </w:r>
          </w:p>
        </w:tc>
      </w:tr>
    </w:tbl>
    <w:bookmarkEnd w:id="46"/>
    <w:bookmarkStart w:id="47" w:name="detailed-scope-breakdown"/>
    <w:p>
      <w:pPr>
        <w:pStyle w:val="Heading3"/>
      </w:pPr>
      <w:r>
        <w:t xml:space="preserve">Detailed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3.50</w:t>
            </w:r>
          </w:p>
        </w:tc>
        <w:tc>
          <w:tcPr/>
          <w:p>
            <w:pPr>
              <w:pStyle w:val="Compact"/>
              <w:jc w:val="left"/>
            </w:pPr>
            <w:r>
              <w:t xml:space="preserve">11.12%</w:t>
            </w:r>
          </w:p>
        </w:tc>
      </w:tr>
      <w:tr>
        <w:tc>
          <w:tcPr/>
          <w:p>
            <w:pPr>
              <w:pStyle w:val="Compact"/>
              <w:jc w:val="left"/>
            </w:pPr>
            <w:r>
              <w:t xml:space="preserve">Scope 3 (Value Chain Emissions)</w:t>
            </w:r>
          </w:p>
        </w:tc>
        <w:tc>
          <w:tcPr/>
          <w:p>
            <w:pPr>
              <w:pStyle w:val="Compact"/>
              <w:jc w:val="left"/>
            </w:pPr>
            <w:r>
              <w:t xml:space="preserve">27.96</w:t>
            </w:r>
          </w:p>
        </w:tc>
        <w:tc>
          <w:tcPr/>
          <w:p>
            <w:pPr>
              <w:pStyle w:val="Compact"/>
              <w:jc w:val="left"/>
            </w:pPr>
            <w:r>
              <w:t xml:space="preserve">88.88%</w:t>
            </w:r>
          </w:p>
        </w:tc>
      </w:tr>
      <w:tr>
        <w:tc>
          <w:tcPr/>
          <w:p>
            <w:pPr>
              <w:pStyle w:val="Compact"/>
              <w:jc w:val="left"/>
            </w:pPr>
            <w:r>
              <w:rPr>
                <w:bCs/>
                <w:b/>
              </w:rPr>
              <w:t xml:space="preserve">Total PCF</w:t>
            </w:r>
          </w:p>
        </w:tc>
        <w:tc>
          <w:tcPr/>
          <w:p>
            <w:pPr>
              <w:pStyle w:val="Compact"/>
              <w:jc w:val="left"/>
            </w:pPr>
            <w:r>
              <w:rPr>
                <w:bCs/>
                <w:b/>
              </w:rPr>
              <w:t xml:space="preserve">31.46</w:t>
            </w:r>
          </w:p>
        </w:tc>
        <w:tc>
          <w:tcPr/>
          <w:p>
            <w:pPr>
              <w:pStyle w:val="Compact"/>
              <w:jc w:val="left"/>
            </w:pPr>
            <w:r>
              <w:rPr>
                <w:bCs/>
                <w:b/>
              </w:rPr>
              <w:t xml:space="preserve">100.00%</w:t>
            </w:r>
          </w:p>
        </w:tc>
      </w:tr>
    </w:tbl>
    <w:p>
      <w:pPr>
        <w:pStyle w:val="BodyText"/>
      </w:pPr>
      <w:r>
        <w:t xml:space="preserve">**Scope 3 Emissions Breakdown (Total: 27.96 kg CO2e/unit):**</w:t>
      </w:r>
    </w:p>
    <w:p>
      <w:pPr>
        <w:numPr>
          <w:ilvl w:val="0"/>
          <w:numId w:val="1015"/>
        </w:numPr>
        <w:pStyle w:val="Compact"/>
      </w:pPr>
      <w:r>
        <w:t xml:space="preserve">**Upstream (Categories 1-8):** 3.96 (Materials) + 0.146 (Inbound Transport) = 4.106 kg CO2e (14.68% of Scope 3)</w:t>
      </w:r>
    </w:p>
    <w:p>
      <w:pPr>
        <w:numPr>
          <w:ilvl w:val="0"/>
          <w:numId w:val="1015"/>
        </w:numPr>
        <w:pStyle w:val="Compact"/>
      </w:pPr>
      <w:r>
        <w:t xml:space="preserve">**Downstream (Categories 9-15):** 0.230 (Outbound Transport) + 25.00 (Use Phase) + (-1.376) (End-of-Life) = 23.854 kg CO2e (85.32% of Scope 3)</w:t>
      </w:r>
    </w:p>
    <w:p>
      <w:pPr>
        <w:pStyle w:val="FirstParagraph"/>
      </w:pPr>
      <w:r>
        <w:t xml:space="preserve">The analysis demonstrates a strong adherence to the 2026 Scope 3 reporting requirement of at least 95% coverage, with all major relevant categories quantified.</w:t>
      </w:r>
    </w:p>
    <w:p>
      <w:r>
        <w:pict>
          <v:rect style="width:0;height:1.5pt" o:hralign="center" o:hrstd="t" o:hr="t"/>
        </w:pict>
      </w:r>
    </w:p>
    <w:bookmarkEnd w:id="47"/>
    <w:bookmarkEnd w:id="48"/>
    <w:bookmarkStart w:id="52" w:name="review-report"/>
    <w:p>
      <w:pPr>
        <w:pStyle w:val="Heading2"/>
      </w:pPr>
      <w:r>
        <w:t xml:space="preserve">6. Review &amp; Report</w:t>
      </w:r>
    </w:p>
    <w:bookmarkStart w:id="49" w:name="emission-hotspots"/>
    <w:p>
      <w:pPr>
        <w:pStyle w:val="Heading3"/>
      </w:pPr>
      <w:r>
        <w:t xml:space="preserve">Emission Hotspots</w:t>
      </w:r>
    </w:p>
    <w:p>
      <w:pPr>
        <w:pStyle w:val="FirstParagraph"/>
      </w:pPr>
      <w:r>
        <w:t xml:space="preserve">The analysis reveals the following major emission hotspots for ukjsuxftyq:</w:t>
      </w:r>
    </w:p>
    <w:p>
      <w:pPr>
        <w:numPr>
          <w:ilvl w:val="0"/>
          <w:numId w:val="1016"/>
        </w:numPr>
        <w:pStyle w:val="Compact"/>
      </w:pPr>
      <w:r>
        <w:rPr>
          <w:bCs/>
          <w:b/>
        </w:rPr>
        <w:t xml:space="preserve">Use Phase (25.00 kg CO2e):</w:t>
      </w:r>
      <w:r>
        <w:t xml:space="preserve"> </w:t>
      </w:r>
      <w:r>
        <w:t xml:space="preserve">This is by far the largest contributor, accounting for approximately 79.5% of the total PCF. This is primarily driven by the product\'s lifespan and its energy consumption during use, even with average European grid mixes.</w:t>
      </w:r>
    </w:p>
    <w:p>
      <w:pPr>
        <w:numPr>
          <w:ilvl w:val="0"/>
          <w:numId w:val="1016"/>
        </w:numPr>
        <w:pStyle w:val="Compact"/>
      </w:pPr>
      <w:r>
        <w:rPr>
          <w:bCs/>
          <w:b/>
        </w:rPr>
        <w:t xml:space="preserve">Raw Materials (3.96 kg CO2e):</w:t>
      </w:r>
      <w:r>
        <w:t xml:space="preserve"> </w:t>
      </w:r>
      <w:r>
        <w:t xml:space="preserve">Materials acquisition and processing contribute significantly, representing about 12.6% of the total PCF, highlighting the impact of component choices.</w:t>
      </w:r>
    </w:p>
    <w:p>
      <w:pPr>
        <w:numPr>
          <w:ilvl w:val="0"/>
          <w:numId w:val="1016"/>
        </w:numPr>
        <w:pStyle w:val="Compact"/>
      </w:pPr>
      <w:r>
        <w:rPr>
          <w:bCs/>
          <w:b/>
        </w:rPr>
        <w:t xml:space="preserve">Manufacturing Energy (3.50 kg CO2e):</w:t>
      </w:r>
      <w:r>
        <w:t xml:space="preserve"> </w:t>
      </w:r>
      <w:r>
        <w:t xml:space="preserve">Purchased electricity for manufacturing in China, despite 50% renewable energy usage, still contributes a notable portion (11.1%) due to the grid intensity of the remaining non-renewable supply.</w:t>
      </w:r>
    </w:p>
    <w:p>
      <w:pPr>
        <w:numPr>
          <w:ilvl w:val="0"/>
          <w:numId w:val="1016"/>
        </w:numPr>
        <w:pStyle w:val="Compact"/>
      </w:pPr>
      <w:r>
        <w:rPr>
          <w:bCs/>
          <w:b/>
        </w:rPr>
        <w:t xml:space="preserve">End-of-Life (-1.38 kg CO2e):</w:t>
      </w:r>
      <w:r>
        <w:t xml:space="preserve"> </w:t>
      </w:r>
      <w:r>
        <w:t xml:space="preserve">The robust recyclability and take-back programs result in a net carbon saving at the end-of-life, demonstrating the positive impact of circular economy initiatives.</w:t>
      </w:r>
    </w:p>
    <w:bookmarkEnd w:id="49"/>
    <w:bookmarkStart w:id="50" w:name="recommendations-for-reduction"/>
    <w:p>
      <w:pPr>
        <w:pStyle w:val="Heading3"/>
      </w:pPr>
      <w:r>
        <w:t xml:space="preserve">Recommendations for Reduction</w:t>
      </w:r>
    </w:p>
    <w:p>
      <w:pPr>
        <w:pStyle w:val="FirstParagraph"/>
      </w:pPr>
      <w:r>
        <w:t xml:space="preserve">Based on the identified hotspots, edrzzzxglj should prioritize the following actions:</w:t>
      </w:r>
    </w:p>
    <w:p>
      <w:pPr>
        <w:numPr>
          <w:ilvl w:val="0"/>
          <w:numId w:val="1017"/>
        </w:numPr>
        <w:pStyle w:val="Compact"/>
      </w:pPr>
      <w:r>
        <w:rPr>
          <w:bCs/>
          <w:b/>
        </w:rPr>
        <w:t xml:space="preserve">Optimize Use Phase Efficiency:</w:t>
      </w:r>
      <w:r>
        <w:t xml:space="preserve"> </w:t>
      </w:r>
      <w:r>
        <w:t xml:space="preserve">Focus on reducing the product\'s energy consumption during its lifespan. This could involve design improvements, more energy-efficient components, or offering smart energy management features.</w:t>
      </w:r>
    </w:p>
    <w:p>
      <w:pPr>
        <w:numPr>
          <w:ilvl w:val="0"/>
          <w:numId w:val="1017"/>
        </w:numPr>
        <w:pStyle w:val="Compact"/>
      </w:pPr>
      <w:r>
        <w:rPr>
          <w:bCs/>
          <w:b/>
        </w:rPr>
        <w:t xml:space="preserve">Enhance Renewable Energy Sourcing:</w:t>
      </w:r>
      <w:r>
        <w:t xml:space="preserve"> </w:t>
      </w:r>
      <w:r>
        <w:t xml:space="preserve">Invest further in renewable energy for manufacturing operations in China, aiming for higher percentages than the current 50% to reduce Scope 2 emissions. This could involve direct renewable energy procurement or participation in renewable energy certificate schemes.</w:t>
      </w:r>
    </w:p>
    <w:p>
      <w:pPr>
        <w:numPr>
          <w:ilvl w:val="0"/>
          <w:numId w:val="1017"/>
        </w:numPr>
        <w:pStyle w:val="Compact"/>
      </w:pPr>
      <w:r>
        <w:rPr>
          <w:bCs/>
          <w:b/>
        </w:rPr>
        <w:t xml:space="preserve">Material Optimization:</w:t>
      </w:r>
      <w:r>
        <w:t xml:space="preserve"> </w:t>
      </w:r>
      <w:r>
        <w:t xml:space="preserve">Explore opportunities to use lower-carbon intensity materials, increase recycled content in components, or reduce overall material usage without compromising product quality or durability.</w:t>
      </w:r>
    </w:p>
    <w:p>
      <w:pPr>
        <w:numPr>
          <w:ilvl w:val="0"/>
          <w:numId w:val="1017"/>
        </w:numPr>
        <w:pStyle w:val="Compact"/>
      </w:pPr>
      <w:r>
        <w:rPr>
          <w:bCs/>
          <w:b/>
        </w:rPr>
        <w:t xml:space="preserve">Promote Circularity:</w:t>
      </w:r>
      <w:r>
        <w:t xml:space="preserve"> </w:t>
      </w:r>
      <w:r>
        <w:t xml:space="preserve">Continue to strengthen and expand take-back and recycling programs. Communicate the benefits of recycling to customers to maximize the actual return rates and ensure materials re-enter the value chain effectively.</w:t>
      </w:r>
    </w:p>
    <w:bookmarkEnd w:id="50"/>
    <w:bookmarkStart w:id="51" w:name="reliability-limitations"/>
    <w:p>
      <w:pPr>
        <w:pStyle w:val="Heading3"/>
      </w:pPr>
      <w:r>
        <w:t xml:space="preserve">Reliability &amp; Limitations</w:t>
      </w:r>
    </w:p>
    <w:p>
      <w:pPr>
        <w:pStyle w:val="FirstParagraph"/>
      </w:pPr>
      <w:r>
        <w:t xml:space="preserve">The reliability of this PCF is considered high, given the adherence to GHG Protocol standards and the use of detailed BOM data. However, certain limitations exist:</w:t>
      </w:r>
    </w:p>
    <w:p>
      <w:pPr>
        <w:numPr>
          <w:ilvl w:val="0"/>
          <w:numId w:val="1018"/>
        </w:numPr>
        <w:pStyle w:val="Compact"/>
      </w:pPr>
      <w:r>
        <w:rPr>
          <w:bCs/>
          <w:b/>
        </w:rPr>
        <w:t xml:space="preserve">Emission Factor Assumptions:</w:t>
      </w:r>
      <w:r>
        <w:t xml:space="preserve"> </w:t>
      </w:r>
      <w:r>
        <w:t xml:space="preserve">While industry-standard emission factors from reputable sources (e.g., Ecoinvent/DEFRA-type data) have been used, specific primary data from all suppliers was not available for every component or process, necessitating some reliance on average secondary data. This introduces a degree of uncertainty.</w:t>
      </w:r>
    </w:p>
    <w:p>
      <w:pPr>
        <w:numPr>
          <w:ilvl w:val="0"/>
          <w:numId w:val="1018"/>
        </w:numPr>
        <w:pStyle w:val="Compact"/>
      </w:pPr>
      <w:r>
        <w:rPr>
          <w:bCs/>
          <w:b/>
        </w:rPr>
        <w:t xml:space="preserve">LSR Standard Granularity:</w:t>
      </w:r>
      <w:r>
        <w:t xml:space="preserve"> </w:t>
      </w:r>
      <w:r>
        <w:t xml:space="preserve">While the 2026 LSR Standard is acknowledged, detailed land-use change impacts at the specific raw material level for every component were not available for explicit quantification within this report. Further, the accompanying guidance is expected in Q2 2026. Full implementation would require more granular data on the land footprint of sourced materials.</w:t>
      </w:r>
    </w:p>
    <w:p>
      <w:pPr>
        <w:numPr>
          <w:ilvl w:val="0"/>
          <w:numId w:val="1018"/>
        </w:numPr>
        <w:pStyle w:val="Compact"/>
      </w:pPr>
      <w:r>
        <w:rPr>
          <w:bCs/>
          <w:b/>
        </w:rPr>
        <w:t xml:space="preserve">Simplified EoL Credits:</w:t>
      </w:r>
      <w:r>
        <w:t xml:space="preserve"> </w:t>
      </w:r>
      <w:r>
        <w:t xml:space="preserve">The recycling credit is based on an assumed avoided virgin material production. More detailed avoided burden calculations would require a full comparative LCA.</w:t>
      </w:r>
    </w:p>
    <w:p>
      <w:pPr>
        <w:numPr>
          <w:ilvl w:val="0"/>
          <w:numId w:val="1018"/>
        </w:numPr>
        <w:pStyle w:val="Compact"/>
      </w:pPr>
      <w:r>
        <w:rPr>
          <w:bCs/>
          <w:b/>
        </w:rPr>
        <w:t xml:space="preserve">Dynamic Nature:</w:t>
      </w:r>
      <w:r>
        <w:t xml:space="preserve"> </w:t>
      </w:r>
      <w:r>
        <w:t xml:space="preserve">Emission factors and energy mixes are subject to change over time. This report reflects current best available data and assumptions.</w:t>
      </w:r>
    </w:p>
    <w:p>
      <w:r>
        <w:pict>
          <v:rect style="width:0;height:1.5pt" o:hralign="center" o:hrstd="t" o:hr="t"/>
        </w:pict>
      </w:r>
    </w:p>
    <w:bookmarkEnd w:id="51"/>
    <w:bookmarkEnd w:id="52"/>
    <w:bookmarkStart w:id="53" w:name="conclusion"/>
    <w:p>
      <w:pPr>
        <w:pStyle w:val="Heading2"/>
      </w:pPr>
      <w:r>
        <w:t xml:space="preserve">7. Conclusion</w:t>
      </w:r>
    </w:p>
    <w:p>
      <w:pPr>
        <w:pStyle w:val="FirstParagraph"/>
      </w:pPr>
      <w:r>
        <w:t xml:space="preserve">This high-detail Product Carbon Footprint analysis for ukjsuxftyq by edrzzzxglj provides critical insights into its environmental impact. With a total PCF of 31.46 kg CO2e per unit, the use phase is identified as the dominant emission hotspot. By focusing on energy efficiency in use, further decarbonizing manufacturing energy, optimizing material selection, and enhancing circular economy initiatives, edrzzzxglj can significantly reduce the product\'s overall carbon footprint. Adherence to the GHG Protocol, including the latest 2026 LSR Standard and robust Scope 3 reporting requirements, ensures that this analysis serves as a credible foundation for future sustainability strategies and reporting.</w:t>
      </w:r>
    </w:p>
    <w:p>
      <w:pPr>
        <w:pStyle w:val="BodyText"/>
      </w:pPr>
      <w:r>
        <w:t xml:space="preserve">Confidential - Internal Use Only | Page</w:t>
      </w:r>
      <w:r>
        <w:t xml:space="preserve"> </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ukjsuxftyq</dc:title>
  <dc:creator/>
  <dc:description>Detailed Product Carbon Footprint (PCF) analysis for ukjsuxftyq, following GHG Protocol standards and 2026 updates, conducted by owxttvmwpk for edrzzzxglj.</dc:description>
  <dc:language>en</dc:language>
  <cp:keywords/>
  <dcterms:created xsi:type="dcterms:W3CDTF">2026-05-30T19:16:46Z</dcterms:created>
  <dcterms:modified xsi:type="dcterms:W3CDTF">2026-05-30T19:16:46Z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