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ugwdmgzxql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ugwdmgzxql</w:t>
      </w:r>
    </w:p>
    <w:p>
      <w:pPr>
        <w:pStyle w:val="BodyText"/>
      </w:pPr>
      <w:r>
        <w:rPr>
          <w:bCs/>
          <w:b/>
        </w:rPr>
        <w:t xml:space="preserve">Company Name:</w:t>
      </w:r>
      <w:r>
        <w:t xml:space="preserve"> </w:t>
      </w:r>
      <w:r>
        <w:t xml:space="preserve">xrljzomqdo</w:t>
      </w:r>
    </w:p>
    <w:p>
      <w:pPr>
        <w:pStyle w:val="BodyText"/>
      </w:pPr>
      <w:r>
        <w:rPr>
          <w:bCs/>
          <w:b/>
        </w:rPr>
        <w:t xml:space="preserve">Senior Sustainability Consultant:</w:t>
      </w:r>
      <w:r>
        <w:t xml:space="preserve"> </w:t>
      </w:r>
      <w:r>
        <w:t xml:space="preserve">ronjjriqdi</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input data and industry-standard methodologies. While every effort has been made to ensure accuracy, the calculations presented herein are illustrative where specific quantitative data was provided as a string placeholder, and actual values would require precise, primary data collection. This report serves as a high-level analysis and guidance document.</w:t>
      </w:r>
    </w:p>
    <w:bookmarkEnd w:id="20"/>
    <w:bookmarkStart w:id="21" w:name="Xa3173e69a06b858fe6f5494082edd77812b8c38"/>
    <w:p>
      <w:pPr>
        <w:pStyle w:val="Heading1"/>
      </w:pPr>
      <w:r>
        <w:t xml:space="preserve">Product Carbon Footprint Report for ugwdmgzxql</w:t>
      </w:r>
    </w:p>
    <w:p>
      <w:pPr>
        <w:pStyle w:val="FirstParagraph"/>
      </w:pPr>
      <w:r>
        <w:t xml:space="preserve">Generated Date: June 4, 2026</w:t>
      </w:r>
    </w:p>
    <w:bookmarkEnd w:id="21"/>
    <w:bookmarkStart w:id="22" w:name="executive-summary"/>
    <w:p>
      <w:pPr>
        <w:pStyle w:val="Heading2"/>
      </w:pPr>
      <w:r>
        <w:t xml:space="preserve">1. Executive Summary</w:t>
      </w:r>
    </w:p>
    <w:p>
      <w:pPr>
        <w:pStyle w:val="FirstParagraph"/>
      </w:pPr>
      <w:r>
        <w:t xml:space="preserve">This report provides a high-detail Product Carbon Footprint (PCF) analysis for the product ugwdmgzxql, manufactured by xrljzomqdo. Conducted by ronjjriqdi, Senior Sustainability Consultant, this analysis adheres strictly to the GHG Protocol and incorporates the latest 2026 Land Sector and Removals (LSR) Standard. The system boundary for this assessment is \'factory_gate\', focusing on emissions up to the point of dispatch from the manufacturing facility, with broader Scope 3 considerations for materials, transport, use, and end-of-life. The primary goal is to identify carbon hotspots across the product\'s lifecycle and provide a foundational understanding for future emission reduction strategies. As some input parameters were provided as string placeholders, illustrative numerical values have been used for calculations, with an emphasis on methodology and data structure.</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for ugwdmgzxql follows a structured approach in alignment with the GHG Protocol Product Standard, ensuring comprehensive and consistent reporting of greenhouse gas emissions. The methodology encompasses five key steps: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ugwdmgzxql. This unit serves as the reference basis for all quantified inputs and outputs throughout the product lifecycle.</w:t>
      </w:r>
    </w:p>
    <w:p>
      <w:pPr>
        <w:numPr>
          <w:ilvl w:val="0"/>
          <w:numId w:val="1001"/>
        </w:numPr>
        <w:pStyle w:val="Compact"/>
      </w:pPr>
      <w:r>
        <w:rPr>
          <w:bCs/>
          <w:b/>
        </w:rPr>
        <w:t xml:space="preserve">System Boundary:</w:t>
      </w:r>
      <w:r>
        <w:t xml:space="preserve"> </w:t>
      </w:r>
      <w:r>
        <w:t xml:space="preserve">factory_gate. This boundary specifically includes emissions associated with raw material extraction, component manufacturing, and the production processes within the manufacturing facility. It also extends to cover Scope 3 categories for the full value chain.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the grid electricity emission factors for manufacturing.</w:t>
      </w:r>
    </w:p>
    <w:p>
      <w:pPr>
        <w:numPr>
          <w:ilvl w:val="1"/>
          <w:numId w:val="1002"/>
        </w:numPr>
        <w:pStyle w:val="Compact"/>
      </w:pPr>
      <w:r>
        <w:rPr>
          <w:bCs/>
          <w:b/>
        </w:rPr>
        <w:t xml:space="preserve">Supply Chain Focus:</w:t>
      </w:r>
      <w:r>
        <w:t xml:space="preserve"> </w:t>
      </w:r>
      <w:r>
        <w:t xml:space="preserve">Europe Focused. This impacts assumptions for inbound material transport distances and modes.</w:t>
      </w:r>
    </w:p>
    <w:p>
      <w:pPr>
        <w:numPr>
          <w:ilvl w:val="0"/>
          <w:numId w:val="1001"/>
        </w:numPr>
        <w:pStyle w:val="Compact"/>
      </w:pPr>
      <w:r>
        <w:rPr>
          <w:bCs/>
          <w:b/>
        </w:rPr>
        <w:t xml:space="preserve">Allocation:</w:t>
      </w:r>
      <w:r>
        <w:t xml:space="preserve"> </w:t>
      </w:r>
      <w:r>
        <w:t xml:space="preserve">Where co-production or multi-product facilities exist, emissions are allocated based on physical (e.g., mass, energy content) or economic relationships, ensuring that ugwdmgzxql bears its proportionate share of environmental impact.</w:t>
      </w:r>
    </w:p>
    <w:bookmarkEnd w:id="23"/>
    <w:bookmarkStart w:id="24" w:name="Xf6590ae06e9eff1c8ceb678e24ded0b628f7713"/>
    <w:p>
      <w:pPr>
        <w:pStyle w:val="Heading3"/>
      </w:pPr>
      <w:r>
        <w:t xml:space="preserve">2.2. Map Lifecycle (Life Cycle Inventory Stages)</w:t>
      </w:r>
    </w:p>
    <w:p>
      <w:pPr>
        <w:pStyle w:val="FirstParagraph"/>
      </w:pPr>
      <w:r>
        <w:t xml:space="preserve">The lifecycle of ugwdmgzxql is mapped through the following stages, facilitating a systematic collection of inputs and outputs:</w:t>
      </w:r>
    </w:p>
    <w:p>
      <w:pPr>
        <w:numPr>
          <w:ilvl w:val="0"/>
          <w:numId w:val="1003"/>
        </w:numPr>
        <w:pStyle w:val="Compact"/>
      </w:pPr>
      <w:r>
        <w:rPr>
          <w:bCs/>
          <w:b/>
        </w:rPr>
        <w:t xml:space="preserve">Materials Acquisition &amp; Pre-processing:</w:t>
      </w:r>
      <w:r>
        <w:t xml:space="preserve"> </w:t>
      </w:r>
      <w:r>
        <w:t xml:space="preserve">Extraction, processing, and refining of raw materials (e.g., metals, plastics, silicon, chemicals) from their origin points. This includes all energy and emissions related to producing the components specified in the Bill of Materials.</w:t>
      </w:r>
    </w:p>
    <w:p>
      <w:pPr>
        <w:numPr>
          <w:ilvl w:val="0"/>
          <w:numId w:val="1003"/>
        </w:numPr>
        <w:pStyle w:val="Compact"/>
      </w:pPr>
      <w:r>
        <w:rPr>
          <w:bCs/>
          <w:b/>
        </w:rPr>
        <w:t xml:space="preserve">Manufacturing/Production:</w:t>
      </w:r>
      <w:r>
        <w:t xml:space="preserve"> </w:t>
      </w:r>
      <w:r>
        <w:t xml:space="preserve">Energy consumption (electricity, fuel), waste generation, and direct emissions from the xrljzomqdo manufacturing facility in China.</w:t>
      </w:r>
    </w:p>
    <w:p>
      <w:pPr>
        <w:numPr>
          <w:ilvl w:val="0"/>
          <w:numId w:val="1003"/>
        </w:numPr>
        <w:pStyle w:val="Compact"/>
      </w:pPr>
      <w:r>
        <w:rPr>
          <w:bCs/>
          <w:b/>
        </w:rPr>
        <w:t xml:space="preserve">Transportation (Inbound &amp; Outbound):</w:t>
      </w:r>
      <w:r>
        <w:t xml:space="preserve"> </w:t>
      </w:r>
      <w:r>
        <w:t xml:space="preserve">Logistics associated with bringing raw materials and components from European suppliers to the manufacturing facility in China, and transport of the finished product to distribution centers.</w:t>
      </w:r>
    </w:p>
    <w:p>
      <w:pPr>
        <w:numPr>
          <w:ilvl w:val="0"/>
          <w:numId w:val="1003"/>
        </w:numPr>
        <w:pStyle w:val="Compact"/>
      </w:pPr>
      <w:r>
        <w:rPr>
          <w:bCs/>
          <w:b/>
        </w:rPr>
        <w:t xml:space="preserve">Use Phase:</w:t>
      </w:r>
      <w:r>
        <w:t xml:space="preserve"> </w:t>
      </w:r>
      <w:r>
        <w:t xml:space="preserve">Energy consumption by the end-user during the product\'s estimated lifespan.</w:t>
      </w:r>
    </w:p>
    <w:p>
      <w:pPr>
        <w:numPr>
          <w:ilvl w:val="0"/>
          <w:numId w:val="1003"/>
        </w:numPr>
        <w:pStyle w:val="Compact"/>
      </w:pPr>
      <w:r>
        <w:rPr>
          <w:bCs/>
          <w:b/>
        </w:rPr>
        <w:t xml:space="preserve">End-of-Life (EoL):</w:t>
      </w:r>
      <w:r>
        <w:t xml:space="preserve"> </w:t>
      </w:r>
      <w:r>
        <w:t xml:space="preserve">Disposal, recycling, or recovery processes for the product at the end of its useful life, considering circular economy programs.</w:t>
      </w:r>
    </w:p>
    <w:p>
      <w:pPr>
        <w:pStyle w:val="FirstParagraph"/>
      </w:pPr>
      <w:r>
        <w:rPr>
          <w:bCs/>
          <w:b/>
        </w:rPr>
        <w:t xml:space="preserve">Detailed Breakdown of Materials &amp; Energy Inputs (Illustrative Example for ugwdmgzxql):</w:t>
      </w:r>
    </w:p>
    <w:p>
      <w:pPr>
        <w:pStyle w:val="BodyText"/>
      </w:pPr>
      <w:r>
        <w:t xml:space="preserve">The Detailed Bill of Materials (BOM) for ugwdmgzxql was provided as "zduyloyj". As this input is a placeholder string and not structured data, the following table presents an illustrative example of how such detailed BOM information would be utilized for material impact calculations. Actual calculations would require the specific quantities and emission factors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Shell</w:t>
            </w:r>
          </w:p>
        </w:tc>
        <w:tc>
          <w:tcPr/>
          <w:p>
            <w:pPr>
              <w:pStyle w:val="Compact"/>
              <w:jc w:val="left"/>
            </w:pPr>
            <w:r>
              <w:t xml:space="preserve">Polymer</w:t>
            </w:r>
          </w:p>
        </w:tc>
        <w:tc>
          <w:tcPr/>
          <w:p>
            <w:pPr>
              <w:pStyle w:val="Compact"/>
              <w:jc w:val="left"/>
            </w:pPr>
            <w:r>
              <w:t xml:space="preserve">Injection Molding (ABS)</w:t>
            </w:r>
          </w:p>
        </w:tc>
        <w:tc>
          <w:tcPr/>
          <w:p>
            <w:pPr>
              <w:pStyle w:val="Compact"/>
              <w:jc w:val="left"/>
            </w:pPr>
            <w:r>
              <w:t xml:space="preserve">0.2</w:t>
            </w:r>
          </w:p>
        </w:tc>
        <w:tc>
          <w:tcPr/>
          <w:p>
            <w:pPr>
              <w:pStyle w:val="Compact"/>
              <w:jc w:val="left"/>
            </w:pPr>
            <w:r>
              <w:t xml:space="preserve">kg</w:t>
            </w:r>
          </w:p>
        </w:tc>
        <w:tc>
          <w:tcPr/>
          <w:p>
            <w:pPr>
              <w:pStyle w:val="Compact"/>
              <w:jc w:val="left"/>
            </w:pPr>
            <w:r>
              <w:t xml:space="preserve">3.8</w:t>
            </w:r>
          </w:p>
        </w:tc>
        <w:tc>
          <w:tcPr/>
          <w:p>
            <w:pPr>
              <w:pStyle w:val="Compact"/>
              <w:jc w:val="left"/>
            </w:pPr>
            <w:r>
              <w:t xml:space="preserve">0.76</w:t>
            </w:r>
          </w:p>
        </w:tc>
      </w:tr>
      <w:tr>
        <w:tc>
          <w:tcPr/>
          <w:p>
            <w:pPr>
              <w:pStyle w:val="Compact"/>
              <w:jc w:val="left"/>
            </w:pPr>
            <w:r>
              <w:t xml:space="preserve">M-003</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Cell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gridSpan w:val="7"/>
          </w:tcPr>
          <w:p>
            <w:pPr>
              <w:pStyle w:val="Compact"/>
              <w:jc w:val="right"/>
            </w:pPr>
            <w:r>
              <w:t xml:space="preserve">Illustrative Total Material Carbon:</w:t>
            </w:r>
          </w:p>
        </w:tc>
        <w:tc>
          <w:tcPr/>
          <w:p>
            <w:pPr>
              <w:pStyle w:val="Compact"/>
              <w:jc w:val="left"/>
            </w:pPr>
            <w:r>
              <w:rPr>
                <w:bCs/>
                <w:b/>
              </w:rPr>
              <w:t xml:space="preserve">8.11 kg CO2e</w:t>
            </w:r>
          </w:p>
        </w:tc>
      </w:tr>
    </w:tbl>
    <w:bookmarkEnd w:id="24"/>
    <w:bookmarkStart w:id="25" w:name="collect-data"/>
    <w:p>
      <w:pPr>
        <w:pStyle w:val="Heading3"/>
      </w:pPr>
      <w:r>
        <w:t xml:space="preserve">2.3. Collect Data</w:t>
      </w:r>
    </w:p>
    <w:p>
      <w:pPr>
        <w:pStyle w:val="FirstParagraph"/>
      </w:pPr>
      <w:r>
        <w:t xml:space="preserve">Data collection involves gathering both primary and secondary data points:</w:t>
      </w:r>
    </w:p>
    <w:p>
      <w:pPr>
        <w:numPr>
          <w:ilvl w:val="0"/>
          <w:numId w:val="1004"/>
        </w:numPr>
        <w:pStyle w:val="Compact"/>
      </w:pPr>
      <w:r>
        <w:rPr>
          <w:bCs/>
          <w:b/>
        </w:rPr>
        <w:t xml:space="preserve">Primary Data:</w:t>
      </w:r>
      <w:r>
        <w:t xml:space="preserve"> </w:t>
      </w:r>
      <w:r>
        <w:t xml:space="preserve">Specific operational data from xrljzomqdo, including actual energy consumption (electricity, fuel), material usage (from BOM \'zduyloyj\'), waste generation rates, and transport logs. Given the nature of the input parameters, actual primary data would be collected for precise calculations.</w:t>
      </w:r>
    </w:p>
    <w:p>
      <w:pPr>
        <w:numPr>
          <w:ilvl w:val="0"/>
          <w:numId w:val="1004"/>
        </w:numPr>
        <w:pStyle w:val="Compact"/>
      </w:pPr>
      <w:r>
        <w:rPr>
          <w:bCs/>
          <w:b/>
        </w:rPr>
        <w:t xml:space="preserve">Secondary Data:</w:t>
      </w:r>
      <w:r>
        <w:t xml:space="preserve"> </w:t>
      </w:r>
      <w:r>
        <w:t xml:space="preserve">Industry-average emission factors for materials, energy generation (grid mix), and transportation. These are sourced from reputable databases such as Ecoinvent, DEFRA, and the Intergovernmental Panel on Climate Change (IPCC). For this report, illustrative factors are used for demonstration.</w:t>
      </w:r>
    </w:p>
    <w:bookmarkEnd w:id="25"/>
    <w:bookmarkStart w:id="26" w:name="calculate-emissions"/>
    <w:p>
      <w:pPr>
        <w:pStyle w:val="Heading3"/>
      </w:pPr>
      <w:r>
        <w:t xml:space="preserve">2.4. Calculate Emissions</w:t>
      </w:r>
    </w:p>
    <w:p>
      <w:pPr>
        <w:pStyle w:val="FirstParagraph"/>
      </w:pPr>
      <w:r>
        <w:t xml:space="preserve">Emissions are calculated using the fundamental equation:</w:t>
      </w:r>
      <w:r>
        <w:t xml:space="preserve"> </w:t>
      </w:r>
      <w:r>
        <w:rPr>
          <w:rStyle w:val="VerbatimChar"/>
        </w:rPr>
        <w:t xml:space="preserve">Activity Data × Emission Factor = CO2e</w:t>
      </w:r>
      <w:r>
        <w:t xml:space="preserve">.</w:t>
      </w:r>
    </w:p>
    <w:p>
      <w:pPr>
        <w:numPr>
          <w:ilvl w:val="0"/>
          <w:numId w:val="1005"/>
        </w:numPr>
        <w:pStyle w:val="Compact"/>
      </w:pPr>
      <w:r>
        <w:rPr>
          <w:bCs/>
          <w:b/>
        </w:rPr>
        <w:t xml:space="preserve">Activity Data:</w:t>
      </w:r>
      <w:r>
        <w:t xml:space="preserve"> </w:t>
      </w:r>
      <w:r>
        <w:t xml:space="preserve">Quantifiable measure of a process or activity (e.g., kg of material used, kWh of electricity consumed, km traveled by transport).</w:t>
      </w:r>
    </w:p>
    <w:p>
      <w:pPr>
        <w:numPr>
          <w:ilvl w:val="0"/>
          <w:numId w:val="1005"/>
        </w:numPr>
        <w:pStyle w:val="Compact"/>
      </w:pPr>
      <w:r>
        <w:rPr>
          <w:bCs/>
          <w:b/>
        </w:rPr>
        <w:t xml:space="preserve">Emission Factor:</w:t>
      </w:r>
      <w:r>
        <w:t xml:space="preserve"> </w:t>
      </w:r>
      <w:r>
        <w:t xml:space="preserve">The greenhouse gas emissions per unit of activity data (e.g., kg CO2e per kg of material, kg CO2e per kWh, kg CO2e per tkm).</w:t>
      </w:r>
    </w:p>
    <w:p>
      <w:pPr>
        <w:numPr>
          <w:ilvl w:val="0"/>
          <w:numId w:val="1005"/>
        </w:numPr>
        <w:pStyle w:val="Compact"/>
      </w:pPr>
      <w:r>
        <w:rPr>
          <w:bCs/>
          <w:b/>
        </w:rPr>
        <w:t xml:space="preserve">CO2e (Carbon Dioxide Equivalent):</w:t>
      </w:r>
      <w:r>
        <w:t xml:space="preserve"> </w:t>
      </w:r>
      <w:r>
        <w:t xml:space="preserve">A universal unit of measurement used to indicate the global warming potential of different greenhouse gases, expressed as the equivalent amount of carbon dioxide.</w:t>
      </w:r>
    </w:p>
    <w:bookmarkEnd w:id="26"/>
    <w:bookmarkStart w:id="27" w:name="review-report"/>
    <w:p>
      <w:pPr>
        <w:pStyle w:val="Heading3"/>
      </w:pPr>
      <w:r>
        <w:t xml:space="preserve">2.5. Review &amp; Report</w:t>
      </w:r>
    </w:p>
    <w:p>
      <w:pPr>
        <w:numPr>
          <w:ilvl w:val="0"/>
          <w:numId w:val="1006"/>
        </w:numPr>
        <w:pStyle w:val="Compact"/>
      </w:pPr>
      <w:r>
        <w:rPr>
          <w:bCs/>
          <w:b/>
        </w:rPr>
        <w:t xml:space="preserve">Hotspot Identification:</w:t>
      </w:r>
      <w:r>
        <w:t xml:space="preserve"> </w:t>
      </w:r>
      <w:r>
        <w:t xml:space="preserve">Analyzing the calculated emissions across all lifecycle stages to identify areas with the highest environmental impact. This guides targeted reduction efforts.</w:t>
      </w:r>
    </w:p>
    <w:p>
      <w:pPr>
        <w:numPr>
          <w:ilvl w:val="0"/>
          <w:numId w:val="1006"/>
        </w:numPr>
        <w:pStyle w:val="Compact"/>
      </w:pPr>
      <w:r>
        <w:rPr>
          <w:bCs/>
          <w:b/>
        </w:rPr>
        <w:t xml:space="preserve">Reliability Assessment:</w:t>
      </w:r>
      <w:r>
        <w:t xml:space="preserve"> </w:t>
      </w:r>
      <w:r>
        <w:t xml:space="preserve">Evaluating the quality and completeness of the data collected, acknowledging any assumptions made due to data gaps (e.g., using illustrative numerical values for string inputs).</w:t>
      </w:r>
    </w:p>
    <w:p>
      <w:pPr>
        <w:numPr>
          <w:ilvl w:val="0"/>
          <w:numId w:val="1006"/>
        </w:numPr>
        <w:pStyle w:val="Compact"/>
      </w:pPr>
      <w:r>
        <w:rPr>
          <w:bCs/>
          <w:b/>
        </w:rPr>
        <w:t xml:space="preserve">Reporting:</w:t>
      </w:r>
      <w:r>
        <w:t xml:space="preserve"> </w:t>
      </w:r>
      <w:r>
        <w:t xml:space="preserve">Presenting the findings transparently, including a breakdown by GHG Protocol scopes and recommendations for improvement.</w:t>
      </w:r>
    </w:p>
    <w:p>
      <w:r>
        <w:pict>
          <v:rect style="width:0;height:1.5pt" o:hralign="center" o:hrstd="t" o:hr="t"/>
        </w:pict>
      </w:r>
    </w:p>
    <w:bookmarkEnd w:id="27"/>
    <w:bookmarkEnd w:id="28"/>
    <w:bookmarkStart w:id="37" w:name="X5ba8a76d37d630dd64bc9935d15c01c9065821b"/>
    <w:p>
      <w:pPr>
        <w:pStyle w:val="Heading2"/>
      </w:pPr>
      <w:r>
        <w:t xml:space="preserve">3. Detailed Product Carbon Footprint Analysis for ugwdmgzxql</w:t>
      </w:r>
    </w:p>
    <w:bookmarkStart w:id="29" w:name="parameters-used"/>
    <w:p>
      <w:pPr>
        <w:pStyle w:val="Heading3"/>
      </w:pPr>
      <w:r>
        <w:t xml:space="preserve">3.1. Parameters Used</w:t>
      </w:r>
    </w:p>
    <w:p>
      <w:pPr>
        <w:pStyle w:val="FirstParagraph"/>
      </w:pPr>
      <w:r>
        <w:t xml:space="preserve">The following parameters were utilized for this PCF analysis. Where specific numerical values were provided as strings, illustrative numerical examples are used for calculation purposes to demonstrate the methodology.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Provided</w:t>
            </w:r>
          </w:p>
        </w:tc>
        <w:tc>
          <w:tcPr/>
          <w:p>
            <w:pPr>
              <w:pStyle w:val="Compact"/>
              <w:jc w:val="left"/>
            </w:pPr>
            <w:r>
              <w:t xml:space="preserve">Illustrative Value (for calculation)</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xrljzomqdo</w:t>
            </w:r>
          </w:p>
        </w:tc>
        <w:tc>
          <w:tcPr/>
          <w:p>
            <w:pPr>
              <w:pStyle w:val="Compact"/>
              <w:jc w:val="left"/>
            </w:pPr>
            <w:r>
              <w:t xml:space="preserve">N/A</w:t>
            </w:r>
          </w:p>
        </w:tc>
        <w:tc>
          <w:tcPr/>
          <w:p>
            <w:pPr>
              <w:pStyle w:val="Compact"/>
              <w:jc w:val="left"/>
            </w:pPr>
            <w:r>
              <w:t xml:space="preserve">Operating entity</w:t>
            </w:r>
          </w:p>
        </w:tc>
      </w:tr>
      <w:tr>
        <w:tc>
          <w:tcPr/>
          <w:p>
            <w:pPr>
              <w:pStyle w:val="Compact"/>
              <w:jc w:val="left"/>
            </w:pPr>
            <w:r>
              <w:t xml:space="preserve">Senior Sustainability Consultant</w:t>
            </w:r>
          </w:p>
        </w:tc>
        <w:tc>
          <w:tcPr/>
          <w:p>
            <w:pPr>
              <w:pStyle w:val="Compact"/>
              <w:jc w:val="left"/>
            </w:pPr>
            <w:r>
              <w:t xml:space="preserve">ronjjriqdi</w:t>
            </w:r>
          </w:p>
        </w:tc>
        <w:tc>
          <w:tcPr/>
          <w:p>
            <w:pPr>
              <w:pStyle w:val="Compact"/>
              <w:jc w:val="left"/>
            </w:pPr>
            <w:r>
              <w:t xml:space="preserve">N/A</w:t>
            </w:r>
          </w:p>
        </w:tc>
        <w:tc>
          <w:tcPr/>
          <w:p>
            <w:pPr>
              <w:pStyle w:val="Compact"/>
              <w:jc w:val="left"/>
            </w:pPr>
            <w:r>
              <w:t xml:space="preserve">Lead analyst for this report</w:t>
            </w:r>
          </w:p>
        </w:tc>
      </w:tr>
      <w:tr>
        <w:tc>
          <w:tcPr/>
          <w:p>
            <w:pPr>
              <w:pStyle w:val="Compact"/>
              <w:jc w:val="left"/>
            </w:pPr>
            <w:r>
              <w:t xml:space="preserve">Product Name</w:t>
            </w:r>
          </w:p>
        </w:tc>
        <w:tc>
          <w:tcPr/>
          <w:p>
            <w:pPr>
              <w:pStyle w:val="Compact"/>
              <w:jc w:val="left"/>
            </w:pPr>
            <w:r>
              <w:t xml:space="preserve">ugwdmgzxql</w:t>
            </w:r>
          </w:p>
        </w:tc>
        <w:tc>
          <w:tcPr/>
          <w:p>
            <w:pPr>
              <w:pStyle w:val="Compact"/>
              <w:jc w:val="left"/>
            </w:pPr>
            <w:r>
              <w:t xml:space="preserve">N/A</w:t>
            </w:r>
          </w:p>
        </w:tc>
        <w:tc>
          <w:tcPr/>
          <w:p>
            <w:pPr>
              <w:pStyle w:val="Compact"/>
              <w:jc w:val="left"/>
            </w:pPr>
            <w:r>
              <w:t xml:space="preserve">Product under analysis</w:t>
            </w:r>
          </w:p>
        </w:tc>
      </w:tr>
      <w:tr>
        <w:tc>
          <w:tcPr/>
          <w:p>
            <w:pPr>
              <w:pStyle w:val="Compact"/>
              <w:jc w:val="left"/>
            </w:pPr>
            <w:r>
              <w:t xml:space="preserve">Detailed Bill of Materials (BOM)</w:t>
            </w:r>
          </w:p>
        </w:tc>
        <w:tc>
          <w:tcPr/>
          <w:p>
            <w:pPr>
              <w:pStyle w:val="Compact"/>
              <w:jc w:val="left"/>
            </w:pPr>
            <w:r>
              <w:t xml:space="preserve">zduyloyj</w:t>
            </w:r>
          </w:p>
        </w:tc>
        <w:tc>
          <w:tcPr/>
          <w:p>
            <w:pPr>
              <w:pStyle w:val="Compact"/>
              <w:jc w:val="left"/>
            </w:pPr>
            <w:r>
              <w:t xml:space="preserve">(See illustrative table above)</w:t>
            </w:r>
          </w:p>
        </w:tc>
        <w:tc>
          <w:tcPr/>
          <w:p>
            <w:pPr>
              <w:pStyle w:val="Compact"/>
              <w:jc w:val="left"/>
            </w:pPr>
            <w:r>
              <w:t xml:space="preserve">Input for material impact. Illustrative values used.</w:t>
            </w:r>
          </w:p>
        </w:tc>
      </w:tr>
      <w:tr>
        <w:tc>
          <w:tcPr/>
          <w:p>
            <w:pPr>
              <w:pStyle w:val="Compact"/>
              <w:jc w:val="left"/>
            </w:pPr>
            <w:r>
              <w:t xml:space="preserve">Transport Mode</w:t>
            </w:r>
          </w:p>
        </w:tc>
        <w:tc>
          <w:tcPr/>
          <w:p>
            <w:pPr>
              <w:pStyle w:val="Compact"/>
              <w:jc w:val="left"/>
            </w:pPr>
            <w:r>
              <w:t xml:space="preserve">Select Mode</w:t>
            </w:r>
          </w:p>
        </w:tc>
        <w:tc>
          <w:tcPr/>
          <w:p>
            <w:pPr>
              <w:pStyle w:val="Compact"/>
              <w:jc w:val="left"/>
            </w:pPr>
            <w:r>
              <w:t xml:space="preserve">Road Freight (HGV), Ocean Freight</w:t>
            </w:r>
          </w:p>
        </w:tc>
        <w:tc>
          <w:tcPr/>
          <w:p>
            <w:pPr>
              <w:pStyle w:val="Compact"/>
              <w:jc w:val="left"/>
            </w:pPr>
            <w:r>
              <w:t xml:space="preserve">Illustrative modes chosen for supply chain focus.</w:t>
            </w:r>
          </w:p>
        </w:tc>
      </w:tr>
      <w:tr>
        <w:tc>
          <w:tcPr/>
          <w:p>
            <w:pPr>
              <w:pStyle w:val="Compact"/>
              <w:jc w:val="left"/>
            </w:pPr>
            <w:r>
              <w:t xml:space="preserve">Transport Distance</w:t>
            </w:r>
          </w:p>
        </w:tc>
        <w:tc>
          <w:tcPr/>
          <w:p>
            <w:pPr>
              <w:pStyle w:val="Compact"/>
              <w:jc w:val="left"/>
            </w:pPr>
            <w:r>
              <w:t xml:space="preserve">qqwnrmzeft</w:t>
            </w:r>
          </w:p>
        </w:tc>
        <w:tc>
          <w:tcPr/>
          <w:p>
            <w:pPr>
              <w:pStyle w:val="Compact"/>
              <w:jc w:val="left"/>
            </w:pPr>
            <w:r>
              <w:t xml:space="preserve">Inbound: 10,000 km (Ocean), Outbound: 500 km (Road)</w:t>
            </w:r>
          </w:p>
        </w:tc>
        <w:tc>
          <w:tcPr/>
          <w:p>
            <w:pPr>
              <w:pStyle w:val="Compact"/>
              <w:jc w:val="left"/>
            </w:pPr>
            <w:r>
              <w:t xml:space="preserve">Illustrative distances for Europe-China supply chain and local delivery.</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Parcel Courier (Van)</w:t>
            </w:r>
          </w:p>
        </w:tc>
        <w:tc>
          <w:tcPr/>
          <w:p>
            <w:pPr>
              <w:pStyle w:val="Compact"/>
              <w:jc w:val="left"/>
            </w:pPr>
            <w:r>
              <w:t xml:space="preserve">Illustrative channel.</w:t>
            </w:r>
          </w:p>
        </w:tc>
      </w:tr>
      <w:tr>
        <w:tc>
          <w:tcPr/>
          <w:p>
            <w:pPr>
              <w:pStyle w:val="Compact"/>
              <w:jc w:val="left"/>
            </w:pPr>
            <w:r>
              <w:t xml:space="preserve">Renewable Energy Usage</w:t>
            </w:r>
          </w:p>
        </w:tc>
        <w:tc>
          <w:tcPr/>
          <w:p>
            <w:pPr>
              <w:pStyle w:val="Compact"/>
              <w:jc w:val="left"/>
            </w:pPr>
            <w:r>
              <w:t xml:space="preserve">ovrpvtgohz</w:t>
            </w:r>
          </w:p>
        </w:tc>
        <w:tc>
          <w:tcPr/>
          <w:p>
            <w:pPr>
              <w:pStyle w:val="Compact"/>
              <w:jc w:val="left"/>
            </w:pPr>
            <w:r>
              <w:t xml:space="preserve">70%</w:t>
            </w:r>
          </w:p>
        </w:tc>
        <w:tc>
          <w:tcPr/>
          <w:p>
            <w:pPr>
              <w:pStyle w:val="Compact"/>
              <w:jc w:val="left"/>
            </w:pPr>
            <w:r>
              <w:t xml:space="preserve">Percentage of electricity from renewable sources at factory.</w:t>
            </w:r>
          </w:p>
        </w:tc>
      </w:tr>
      <w:tr>
        <w:tc>
          <w:tcPr/>
          <w:p>
            <w:pPr>
              <w:pStyle w:val="Compact"/>
              <w:jc w:val="left"/>
            </w:pPr>
            <w:r>
              <w:t xml:space="preserve">Energy Intensity (kWh/unit)</w:t>
            </w:r>
          </w:p>
        </w:tc>
        <w:tc>
          <w:tcPr/>
          <w:p>
            <w:pPr>
              <w:pStyle w:val="Compact"/>
              <w:jc w:val="left"/>
            </w:pPr>
            <w:r>
              <w:t xml:space="preserve">rkwkzhexuq</w:t>
            </w:r>
          </w:p>
        </w:tc>
        <w:tc>
          <w:tcPr/>
          <w:p>
            <w:pPr>
              <w:pStyle w:val="Compact"/>
              <w:jc w:val="left"/>
            </w:pPr>
            <w:r>
              <w:t xml:space="preserve">5 kWh/unit</w:t>
            </w:r>
          </w:p>
        </w:tc>
        <w:tc>
          <w:tcPr/>
          <w:p>
            <w:pPr>
              <w:pStyle w:val="Compact"/>
              <w:jc w:val="left"/>
            </w:pPr>
            <w:r>
              <w:t xml:space="preserve">Energy consumed per product unit during manufacturing.</w:t>
            </w:r>
          </w:p>
        </w:tc>
      </w:tr>
      <w:tr>
        <w:tc>
          <w:tcPr/>
          <w:p>
            <w:pPr>
              <w:pStyle w:val="Compact"/>
              <w:jc w:val="left"/>
            </w:pPr>
            <w:r>
              <w:t xml:space="preserve">Product Lifespan</w:t>
            </w:r>
          </w:p>
        </w:tc>
        <w:tc>
          <w:tcPr/>
          <w:p>
            <w:pPr>
              <w:pStyle w:val="Compact"/>
              <w:jc w:val="left"/>
            </w:pPr>
            <w:r>
              <w:t xml:space="preserve">jdetjgpmit</w:t>
            </w:r>
          </w:p>
        </w:tc>
        <w:tc>
          <w:tcPr/>
          <w:p>
            <w:pPr>
              <w:pStyle w:val="Compact"/>
              <w:jc w:val="left"/>
            </w:pPr>
            <w:r>
              <w:t xml:space="preserve">5 years</w:t>
            </w:r>
          </w:p>
        </w:tc>
        <w:tc>
          <w:tcPr/>
          <w:p>
            <w:pPr>
              <w:pStyle w:val="Compact"/>
              <w:jc w:val="left"/>
            </w:pPr>
            <w:r>
              <w:t xml:space="preserve">Expected useful life of the product.</w:t>
            </w:r>
          </w:p>
        </w:tc>
      </w:tr>
      <w:tr>
        <w:tc>
          <w:tcPr/>
          <w:p>
            <w:pPr>
              <w:pStyle w:val="Compact"/>
              <w:jc w:val="left"/>
            </w:pPr>
            <w:r>
              <w:t xml:space="preserve">Energy Consumption in Use</w:t>
            </w:r>
          </w:p>
        </w:tc>
        <w:tc>
          <w:tcPr/>
          <w:p>
            <w:pPr>
              <w:pStyle w:val="Compact"/>
              <w:jc w:val="left"/>
            </w:pPr>
            <w:r>
              <w:t xml:space="preserve">jigvvtyurf</w:t>
            </w:r>
          </w:p>
        </w:tc>
        <w:tc>
          <w:tcPr/>
          <w:p>
            <w:pPr>
              <w:pStyle w:val="Compact"/>
              <w:jc w:val="left"/>
            </w:pPr>
            <w:r>
              <w:t xml:space="preserve">10 kWh/year</w:t>
            </w:r>
          </w:p>
        </w:tc>
        <w:tc>
          <w:tcPr/>
          <w:p>
            <w:pPr>
              <w:pStyle w:val="Compact"/>
              <w:jc w:val="left"/>
            </w:pPr>
            <w:r>
              <w:t xml:space="preserve">Annual energy consumption during product use.</w:t>
            </w:r>
          </w:p>
        </w:tc>
      </w:tr>
      <w:tr>
        <w:tc>
          <w:tcPr/>
          <w:p>
            <w:pPr>
              <w:pStyle w:val="Compact"/>
              <w:jc w:val="left"/>
            </w:pPr>
            <w:r>
              <w:t xml:space="preserve">Recyclability Percentage</w:t>
            </w:r>
          </w:p>
        </w:tc>
        <w:tc>
          <w:tcPr/>
          <w:p>
            <w:pPr>
              <w:pStyle w:val="Compact"/>
              <w:jc w:val="left"/>
            </w:pPr>
            <w:r>
              <w:t xml:space="preserve">tezwixhdyo</w:t>
            </w:r>
          </w:p>
        </w:tc>
        <w:tc>
          <w:tcPr/>
          <w:p>
            <w:pPr>
              <w:pStyle w:val="Compact"/>
              <w:jc w:val="left"/>
            </w:pPr>
            <w:r>
              <w:t xml:space="preserve">80%</w:t>
            </w:r>
          </w:p>
        </w:tc>
        <w:tc>
          <w:tcPr/>
          <w:p>
            <w:pPr>
              <w:pStyle w:val="Compact"/>
              <w:jc w:val="left"/>
            </w:pPr>
            <w:r>
              <w:t xml:space="preserve">Portion of product recyclable at end-of-life.</w:t>
            </w:r>
          </w:p>
        </w:tc>
      </w:tr>
      <w:tr>
        <w:tc>
          <w:tcPr/>
          <w:p>
            <w:pPr>
              <w:pStyle w:val="Compact"/>
              <w:jc w:val="left"/>
            </w:pPr>
            <w:r>
              <w:t xml:space="preserve">Circular/Take-back Programs</w:t>
            </w:r>
          </w:p>
        </w:tc>
        <w:tc>
          <w:tcPr/>
          <w:p>
            <w:pPr>
              <w:pStyle w:val="Compact"/>
              <w:jc w:val="left"/>
            </w:pPr>
            <w:r>
              <w:t xml:space="preserve">xtzzzynxfl</w:t>
            </w:r>
          </w:p>
        </w:tc>
        <w:tc>
          <w:tcPr/>
          <w:p>
            <w:pPr>
              <w:pStyle w:val="Compact"/>
              <w:jc w:val="left"/>
            </w:pPr>
            <w:r>
              <w:t xml:space="preserve">Active</w:t>
            </w:r>
          </w:p>
        </w:tc>
        <w:tc>
          <w:tcPr/>
          <w:p>
            <w:pPr>
              <w:pStyle w:val="Compact"/>
              <w:jc w:val="left"/>
            </w:pPr>
            <w:r>
              <w:t xml:space="preserve">Existence of programs to recover/repurpose product.</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N/A</w:t>
            </w:r>
          </w:p>
        </w:tc>
        <w:tc>
          <w:tcPr/>
          <w:p>
            <w:pPr>
              <w:pStyle w:val="Compact"/>
              <w:jc w:val="left"/>
            </w:pPr>
            <w:r>
              <w:t xml:space="preserve">Reference unit for analysis.</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N/A</w:t>
            </w:r>
          </w:p>
        </w:tc>
        <w:tc>
          <w:tcPr/>
          <w:p>
            <w:pPr>
              <w:pStyle w:val="Compact"/>
              <w:jc w:val="left"/>
            </w:pPr>
            <w:r>
              <w:t xml:space="preserve">Scope of analysis.</w:t>
            </w:r>
          </w:p>
        </w:tc>
      </w:tr>
      <w:tr>
        <w:tc>
          <w:tcPr/>
          <w:p>
            <w:pPr>
              <w:pStyle w:val="Compact"/>
              <w:jc w:val="left"/>
            </w:pPr>
            <w:r>
              <w:t xml:space="preserve">Geographic Scope</w:t>
            </w:r>
          </w:p>
        </w:tc>
        <w:tc>
          <w:tcPr/>
          <w:p>
            <w:pPr>
              <w:pStyle w:val="Compact"/>
              <w:jc w:val="left"/>
            </w:pPr>
            <w:r>
              <w:t xml:space="preserve">Final Production: China, Supply Chain: Europe Focused</w:t>
            </w:r>
          </w:p>
        </w:tc>
        <w:tc>
          <w:tcPr/>
          <w:p>
            <w:pPr>
              <w:pStyle w:val="Compact"/>
              <w:jc w:val="left"/>
            </w:pPr>
            <w:r>
              <w:t xml:space="preserve">N/A</w:t>
            </w:r>
          </w:p>
        </w:tc>
        <w:tc>
          <w:tcPr/>
          <w:p>
            <w:pPr>
              <w:pStyle w:val="Compact"/>
              <w:jc w:val="left"/>
            </w:pPr>
            <w:r>
              <w:t xml:space="preserve">Regional considerations for emissions factors.</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N/A</w:t>
            </w:r>
          </w:p>
        </w:tc>
        <w:tc>
          <w:tcPr/>
          <w:p>
            <w:pPr>
              <w:pStyle w:val="Compact"/>
              <w:jc w:val="left"/>
            </w:pPr>
            <w:r>
              <w:t xml:space="preserve">Standard followed for reporting.</w:t>
            </w:r>
          </w:p>
        </w:tc>
      </w:tr>
    </w:tbl>
    <w:bookmarkEnd w:id="29"/>
    <w:bookmarkStart w:id="30" w:name="X204f844bfdaa2225b47e56853f608d388f846ab"/>
    <w:p>
      <w:pPr>
        <w:pStyle w:val="Heading3"/>
      </w:pPr>
      <w:r>
        <w:t xml:space="preserve">3.2. Emissions Categorization (GHG Protocol Adherence)</w:t>
      </w:r>
    </w:p>
    <w:p>
      <w:pPr>
        <w:pStyle w:val="FirstParagraph"/>
      </w:pPr>
      <w:r>
        <w:t xml:space="preserve">In accordance with the GHG Protocol, emissions are categorized into three scopes:</w:t>
      </w:r>
    </w:p>
    <w:p>
      <w:pPr>
        <w:numPr>
          <w:ilvl w:val="0"/>
          <w:numId w:val="1007"/>
        </w:numPr>
        <w:pStyle w:val="Compact"/>
      </w:pPr>
      <w:r>
        <w:rPr>
          <w:bCs/>
          <w:b/>
        </w:rPr>
        <w:t xml:space="preserve">Scope 1: Direct Emissions</w:t>
      </w:r>
      <w:r>
        <w:t xml:space="preserve"> </w:t>
      </w:r>
      <w:r>
        <w:t xml:space="preserve">– GHG emissions from sources owned or controlled by xrljzomqdo (e.g., fuel combustion in company vehicles, manufacturing processes). For ugwdmgzxql production, direct process emissions not related to energy are assumed to be minor.</w:t>
      </w:r>
    </w:p>
    <w:p>
      <w:pPr>
        <w:numPr>
          <w:ilvl w:val="0"/>
          <w:numId w:val="1007"/>
        </w:numPr>
        <w:pStyle w:val="Compact"/>
      </w:pPr>
      <w:r>
        <w:rPr>
          <w:bCs/>
          <w:b/>
        </w:rPr>
        <w:t xml:space="preserve">Scope 2: Energy Indirect Emissions</w:t>
      </w:r>
      <w:r>
        <w:t xml:space="preserve"> </w:t>
      </w:r>
      <w:r>
        <w:t xml:space="preserve">– GHG emissions from the generation of purchased electricity, steam, heating, or cooling consumed by xrljzomqdo. This primarily covers the electricity used in the manufacturing facility.</w:t>
      </w:r>
    </w:p>
    <w:p>
      <w:pPr>
        <w:numPr>
          <w:ilvl w:val="0"/>
          <w:numId w:val="1007"/>
        </w:numPr>
        <w:pStyle w:val="Compact"/>
      </w:pPr>
      <w:r>
        <w:rPr>
          <w:bCs/>
          <w:b/>
        </w:rPr>
        <w:t xml:space="preserve">Scope 3: Other Indirect Emissions</w:t>
      </w:r>
      <w:r>
        <w:t xml:space="preserve"> </w:t>
      </w:r>
      <w:r>
        <w:t xml:space="preserve">– All other indirect emissions that occur in the value chain of xrljzomqdo, both upstream and downstream. This includes emissions from purchased goods and services (materials), transportation and distribution, use of sold products, and end-of-life treatment of sold products. To comply with 2026 requirements, at least 95% coverage for Scope 3 reporting is targeted.</w:t>
      </w:r>
    </w:p>
    <w:bookmarkEnd w:id="30"/>
    <w:bookmarkStart w:id="31" w:name="X439aeab12f653c5be8a9767687610423a65f1bc"/>
    <w:p>
      <w:pPr>
        <w:pStyle w:val="Heading3"/>
      </w:pPr>
      <w:r>
        <w:t xml:space="preserve">3.3. 2026 LSR Update: Land Sector and Removals (LSR) Standard</w:t>
      </w:r>
    </w:p>
    <w:p>
      <w:pPr>
        <w:pStyle w:val="FirstParagraph"/>
      </w:pPr>
      <w:r>
        <w:t xml:space="preserve">This PCF analysis applies the principles of the 2026 Land Sector and Removals (LSR) Standard. While direct land use change for raw material extraction is often embedded in material emission factors, explicit accounting for biogenic carbon flows, land-based carbon removals, and land use change impacts are considered where relevant, particularly for bio-based materials. Given the current data inputs, the primary focus remains on industrial emissions, with a conceptual acknowledgment of LSR principles for potential future deeper dives.</w:t>
      </w:r>
    </w:p>
    <w:bookmarkEnd w:id="31"/>
    <w:bookmarkStart w:id="32" w:name="Xb41dab893e213502828706ce6324d4fba2fb34f"/>
    <w:p>
      <w:pPr>
        <w:pStyle w:val="Heading3"/>
      </w:pPr>
      <w:r>
        <w:t xml:space="preserve">3.4. Material Impact Calculation (Scope 3 - Upstream)</w:t>
      </w:r>
    </w:p>
    <w:p>
      <w:pPr>
        <w:pStyle w:val="FirstParagraph"/>
      </w:pPr>
      <w:r>
        <w:t xml:space="preserve">Based on the illustrative Bill of Materials provided (derived from "zduyloyj" input), the material acquisition and pre-processing phase represents a significant portion of the product\'s upstream footprint.</w:t>
      </w:r>
    </w:p>
    <w:p>
      <w:pPr>
        <w:pStyle w:val="BodyText"/>
      </w:pPr>
      <w:r>
        <w:rPr>
          <w:bCs/>
          <w:b/>
        </w:rPr>
        <w:t xml:space="preserve">Illustrative Calculation based on sample BOM:</w:t>
      </w:r>
    </w:p>
    <w:p>
      <w:pPr>
        <w:numPr>
          <w:ilvl w:val="0"/>
          <w:numId w:val="1008"/>
        </w:numPr>
        <w:pStyle w:val="Compact"/>
      </w:pPr>
      <w:r>
        <w:t xml:space="preserve">Illustrative Total Material Carbon (from BOM table above):</w:t>
      </w:r>
      <w:r>
        <w:t xml:space="preserve"> </w:t>
      </w:r>
      <w:r>
        <w:rPr>
          <w:bCs/>
          <w:b/>
        </w:rPr>
        <w:t xml:space="preserve">8.11 kg CO2e</w:t>
      </w:r>
    </w:p>
    <w:p>
      <w:pPr>
        <w:pStyle w:val="FirstParagraph"/>
      </w:pPr>
      <w:r>
        <w:t xml:space="preserve">This figure covers the emissions from raw material extraction, production of intermediate goods, and manufacturing of components before they arrive at xrljzomqdo\'s factory. High-impact materials like aluminum and batteries contribute significantly to this category.</w:t>
      </w:r>
    </w:p>
    <w:bookmarkEnd w:id="32"/>
    <w:bookmarkStart w:id="33" w:name="X89ca8a74ce6bde3f846b69809cc8ae29e3198cb"/>
    <w:p>
      <w:pPr>
        <w:pStyle w:val="Heading3"/>
      </w:pPr>
      <w:r>
        <w:t xml:space="preserve">3.5. Manufacturing/Production Emissions (Scope 1 &amp; Scope 2)</w:t>
      </w:r>
    </w:p>
    <w:p>
      <w:pPr>
        <w:pStyle w:val="FirstParagraph"/>
      </w:pPr>
      <w:r>
        <w:t xml:space="preserve">The production phase at xrljzomqdo\'s facility in China involves energy consumption and direct process emissions.</w:t>
      </w:r>
    </w:p>
    <w:p>
      <w:pPr>
        <w:numPr>
          <w:ilvl w:val="0"/>
          <w:numId w:val="1009"/>
        </w:numPr>
        <w:pStyle w:val="Compact"/>
      </w:pPr>
      <w:r>
        <w:rPr>
          <w:bCs/>
          <w:b/>
        </w:rPr>
        <w:t xml:space="preserve">Energy Intensity (rkwkzhexuq):</w:t>
      </w:r>
      <w:r>
        <w:t xml:space="preserve"> </w:t>
      </w:r>
      <w:r>
        <w:t xml:space="preserve">5 kWh/unit (Illustrative)</w:t>
      </w:r>
    </w:p>
    <w:p>
      <w:pPr>
        <w:numPr>
          <w:ilvl w:val="0"/>
          <w:numId w:val="1009"/>
        </w:numPr>
        <w:pStyle w:val="Compact"/>
      </w:pPr>
      <w:r>
        <w:rPr>
          <w:bCs/>
          <w:b/>
        </w:rPr>
        <w:t xml:space="preserve">Renewable Energy Usage (ovrpvtgohz):</w:t>
      </w:r>
      <w:r>
        <w:t xml:space="preserve"> </w:t>
      </w:r>
      <w:r>
        <w:t xml:space="preserve">70% (Illustrative)</w:t>
      </w:r>
    </w:p>
    <w:p>
      <w:pPr>
        <w:numPr>
          <w:ilvl w:val="0"/>
          <w:numId w:val="1009"/>
        </w:numPr>
        <w:pStyle w:val="Compact"/>
      </w:pPr>
      <w:r>
        <w:rPr>
          <w:bCs/>
          <w:b/>
        </w:rPr>
        <w:t xml:space="preserve">Non-Renewable Electricity:</w:t>
      </w:r>
      <w:r>
        <w:t xml:space="preserve"> </w:t>
      </w:r>
      <w:r>
        <w:t xml:space="preserve">5 kWh/unit * (1 - 0.70) = 1.5 kWh/unit</w:t>
      </w:r>
    </w:p>
    <w:p>
      <w:pPr>
        <w:numPr>
          <w:ilvl w:val="0"/>
          <w:numId w:val="1009"/>
        </w:numPr>
        <w:pStyle w:val="Compact"/>
      </w:pPr>
      <w:r>
        <w:rPr>
          <w:bCs/>
          <w:b/>
        </w:rPr>
        <w:t xml:space="preserve">Illustrative Grid Emission Factor (China):</w:t>
      </w:r>
      <w:r>
        <w:t xml:space="preserve"> </w:t>
      </w:r>
      <w:r>
        <w:t xml:space="preserve">0.4 kg CO2e/kWh (approximate, for non-renewable portion)</w:t>
      </w:r>
    </w:p>
    <w:p>
      <w:pPr>
        <w:numPr>
          <w:ilvl w:val="0"/>
          <w:numId w:val="1009"/>
        </w:numPr>
        <w:pStyle w:val="Compact"/>
      </w:pPr>
      <w:r>
        <w:rPr>
          <w:bCs/>
          <w:b/>
        </w:rPr>
        <w:t xml:space="preserve">Manufacturing Electricity (Scope 2):</w:t>
      </w:r>
      <w:r>
        <w:t xml:space="preserve"> </w:t>
      </w:r>
      <w:r>
        <w:t xml:space="preserve">1.5 kWh/unit * 0.4 kg CO2e/kWh =</w:t>
      </w:r>
      <w:r>
        <w:t xml:space="preserve"> </w:t>
      </w:r>
      <w:r>
        <w:rPr>
          <w:bCs/>
          <w:b/>
        </w:rPr>
        <w:t xml:space="preserve">0.60 kg CO2e/unit</w:t>
      </w:r>
    </w:p>
    <w:p>
      <w:pPr>
        <w:numPr>
          <w:ilvl w:val="0"/>
          <w:numId w:val="1009"/>
        </w:numPr>
        <w:pStyle w:val="Compact"/>
      </w:pPr>
      <w:r>
        <w:rPr>
          <w:bCs/>
          <w:b/>
        </w:rPr>
        <w:t xml:space="preserve">Scope 1 Emissions (Direct Process):</w:t>
      </w:r>
      <w:r>
        <w:t xml:space="preserve"> </w:t>
      </w:r>
      <w:r>
        <w:t xml:space="preserve">Assumed negligible for this illustrative product, or small illustrative value if direct fuels are used. For example,</w:t>
      </w:r>
      <w:r>
        <w:t xml:space="preserve"> </w:t>
      </w:r>
      <w:r>
        <w:rPr>
          <w:bCs/>
          <w:b/>
        </w:rPr>
        <w:t xml:space="preserve">0.05 kg CO2e/unit</w:t>
      </w:r>
      <w:r>
        <w:t xml:space="preserve"> </w:t>
      </w:r>
      <w:r>
        <w:t xml:space="preserve">for minor on-site fuel use.</w:t>
      </w:r>
    </w:p>
    <w:p>
      <w:pPr>
        <w:pStyle w:val="FirstParagraph"/>
      </w:pPr>
      <w:r>
        <w:t xml:space="preserve">Total Production Emissions (Illustrative) = 0.60 kg CO2e (Scope 2) + 0.05 kg CO2e (Scope 1) =</w:t>
      </w:r>
      <w:r>
        <w:t xml:space="preserve"> </w:t>
      </w:r>
      <w:r>
        <w:rPr>
          <w:bCs/>
          <w:b/>
        </w:rPr>
        <w:t xml:space="preserve">0.65 kg CO2e/unit</w:t>
      </w:r>
      <w:r>
        <w:t xml:space="preserve">.</w:t>
      </w:r>
    </w:p>
    <w:bookmarkEnd w:id="33"/>
    <w:bookmarkStart w:id="34" w:name="X20efc89ca55650b531605dcd0d6a285ce77dbfd"/>
    <w:p>
      <w:pPr>
        <w:pStyle w:val="Heading3"/>
      </w:pPr>
      <w:r>
        <w:t xml:space="preserve">3.6. Transport Emissions (Scope 3 - Upstream &amp; Downstream)</w:t>
      </w:r>
    </w:p>
    <w:p>
      <w:pPr>
        <w:pStyle w:val="FirstParagraph"/>
      </w:pPr>
      <w:r>
        <w:t xml:space="preserve">Transportation contributes to emissions through inbound logistics (materials to factory) and outbound logistics (finished product from factory).</w:t>
      </w:r>
    </w:p>
    <w:p>
      <w:pPr>
        <w:numPr>
          <w:ilvl w:val="0"/>
          <w:numId w:val="1010"/>
        </w:numPr>
        <w:pStyle w:val="Compact"/>
      </w:pPr>
      <w:r>
        <w:rPr>
          <w:bCs/>
          <w:b/>
        </w:rPr>
        <w:t xml:space="preserve">Inbound Transport (Materials from Europe to China):</w:t>
      </w:r>
    </w:p>
    <w:p>
      <w:pPr>
        <w:numPr>
          <w:ilvl w:val="1"/>
          <w:numId w:val="1011"/>
        </w:numPr>
        <w:pStyle w:val="Compact"/>
      </w:pPr>
      <w:r>
        <w:t xml:space="preserve">Illustrative Distance (qqwnrmzeft): 10,000 km (Ocean Freight)</w:t>
      </w:r>
    </w:p>
    <w:p>
      <w:pPr>
        <w:numPr>
          <w:ilvl w:val="1"/>
          <w:numId w:val="1011"/>
        </w:numPr>
        <w:pStyle w:val="Compact"/>
      </w:pPr>
      <w:r>
        <w:t xml:space="preserve">Illustrative Mode (Select Mode): Ocean Freight</w:t>
      </w:r>
    </w:p>
    <w:p>
      <w:pPr>
        <w:numPr>
          <w:ilvl w:val="1"/>
          <w:numId w:val="1011"/>
        </w:numPr>
        <w:pStyle w:val="Compact"/>
      </w:pPr>
      <w:r>
        <w:t xml:space="preserve">Illustrative Product Weight for materials: 1.0 kg (assuming average weight of ugwdmgzxql components)</w:t>
      </w:r>
    </w:p>
    <w:p>
      <w:pPr>
        <w:numPr>
          <w:ilvl w:val="1"/>
          <w:numId w:val="1011"/>
        </w:numPr>
        <w:pStyle w:val="Compact"/>
      </w:pPr>
      <w:r>
        <w:t xml:space="preserve">Illustrative Ocean Freight Emission Factor: 0.01 kg CO2e/tonne-km</w:t>
      </w:r>
    </w:p>
    <w:p>
      <w:pPr>
        <w:numPr>
          <w:ilvl w:val="1"/>
          <w:numId w:val="1011"/>
        </w:numPr>
        <w:pStyle w:val="Compact"/>
      </w:pPr>
      <w:r>
        <w:t xml:space="preserve">Calculation: (1 kg / 1000 kg/tonne) * 10,000 km * 0.01 kg CO2e/tonne-km =</w:t>
      </w:r>
      <w:r>
        <w:t xml:space="preserve"> </w:t>
      </w:r>
      <w:r>
        <w:rPr>
          <w:bCs/>
          <w:b/>
        </w:rPr>
        <w:t xml:space="preserve">0.10 kg CO2e/unit</w:t>
      </w:r>
    </w:p>
    <w:p>
      <w:pPr>
        <w:numPr>
          <w:ilvl w:val="0"/>
          <w:numId w:val="1010"/>
        </w:numPr>
        <w:pStyle w:val="Compact"/>
      </w:pPr>
      <w:r>
        <w:rPr>
          <w:bCs/>
          <w:b/>
        </w:rPr>
        <w:t xml:space="preserve">Outbound Transport (Finished Product from China to Europe):</w:t>
      </w:r>
    </w:p>
    <w:p>
      <w:pPr>
        <w:numPr>
          <w:ilvl w:val="1"/>
          <w:numId w:val="1012"/>
        </w:numPr>
        <w:pStyle w:val="Compact"/>
      </w:pPr>
      <w:r>
        <w:t xml:space="preserve">Illustrative Distance (qqwnrmzeft): 10,000 km (Ocean Freight)</w:t>
      </w:r>
    </w:p>
    <w:p>
      <w:pPr>
        <w:numPr>
          <w:ilvl w:val="1"/>
          <w:numId w:val="1012"/>
        </w:numPr>
        <w:pStyle w:val="Compact"/>
      </w:pPr>
      <w:r>
        <w:t xml:space="preserve">Illustrative Mode (Select Mode): Ocean Freight</w:t>
      </w:r>
    </w:p>
    <w:p>
      <w:pPr>
        <w:numPr>
          <w:ilvl w:val="1"/>
          <w:numId w:val="1012"/>
        </w:numPr>
        <w:pStyle w:val="Compact"/>
      </w:pPr>
      <w:r>
        <w:t xml:space="preserve">Illustrative Product Weight: 1.5 kg (total weight of ugwdmgzxql)</w:t>
      </w:r>
    </w:p>
    <w:p>
      <w:pPr>
        <w:numPr>
          <w:ilvl w:val="1"/>
          <w:numId w:val="1012"/>
        </w:numPr>
        <w:pStyle w:val="Compact"/>
      </w:pPr>
      <w:r>
        <w:t xml:space="preserve">Illustrative Ocean Freight Emission Factor: 0.01 kg CO2e/tonne-km</w:t>
      </w:r>
    </w:p>
    <w:p>
      <w:pPr>
        <w:numPr>
          <w:ilvl w:val="1"/>
          <w:numId w:val="1012"/>
        </w:numPr>
        <w:pStyle w:val="Compact"/>
      </w:pPr>
      <w:r>
        <w:t xml:space="preserve">Calculation: (1.5 kg / 1000 kg/tonne) * 10,000 km * 0.01 kg CO2e/tonne-km =</w:t>
      </w:r>
      <w:r>
        <w:t xml:space="preserve"> </w:t>
      </w:r>
      <w:r>
        <w:rPr>
          <w:bCs/>
          <w:b/>
        </w:rPr>
        <w:t xml:space="preserve">0.15 kg CO2e/unit</w:t>
      </w:r>
    </w:p>
    <w:p>
      <w:pPr>
        <w:numPr>
          <w:ilvl w:val="0"/>
          <w:numId w:val="1010"/>
        </w:numPr>
        <w:pStyle w:val="Compact"/>
      </w:pPr>
      <w:r>
        <w:rPr>
          <w:bCs/>
          <w:b/>
        </w:rPr>
        <w:t xml:space="preserve">Last-Mile Delivery (Delivery Type):</w:t>
      </w:r>
    </w:p>
    <w:p>
      <w:pPr>
        <w:numPr>
          <w:ilvl w:val="1"/>
          <w:numId w:val="1013"/>
        </w:numPr>
        <w:pStyle w:val="Compact"/>
      </w:pPr>
      <w:r>
        <w:t xml:space="preserve">Illustrative Mode: Parcel Courier (Van)</w:t>
      </w:r>
    </w:p>
    <w:p>
      <w:pPr>
        <w:numPr>
          <w:ilvl w:val="1"/>
          <w:numId w:val="1013"/>
        </w:numPr>
        <w:pStyle w:val="Compact"/>
      </w:pPr>
      <w:r>
        <w:t xml:space="preserve">Illustrative Last-Mile Emission Factor: 0.5 kg CO2e/unit (per item, accounting for local delivery)</w:t>
      </w:r>
    </w:p>
    <w:p>
      <w:pPr>
        <w:numPr>
          <w:ilvl w:val="1"/>
          <w:numId w:val="1013"/>
        </w:numPr>
        <w:pStyle w:val="Compact"/>
      </w:pPr>
      <w:r>
        <w:t xml:space="preserve">Calculation:</w:t>
      </w:r>
      <w:r>
        <w:t xml:space="preserve"> </w:t>
      </w:r>
      <w:r>
        <w:rPr>
          <w:bCs/>
          <w:b/>
        </w:rPr>
        <w:t xml:space="preserve">0.50 kg CO2e/unit</w:t>
      </w:r>
    </w:p>
    <w:p>
      <w:pPr>
        <w:pStyle w:val="FirstParagraph"/>
      </w:pPr>
      <w:r>
        <w:t xml:space="preserve">Total Transport Emissions (Illustrative) = 0.10 kg CO2e (Inbound) + 0.15 kg CO2e (Outbound) + 0.50 kg CO2e (Last-Mile) =</w:t>
      </w:r>
      <w:r>
        <w:t xml:space="preserve"> </w:t>
      </w:r>
      <w:r>
        <w:rPr>
          <w:bCs/>
          <w:b/>
        </w:rPr>
        <w:t xml:space="preserve">0.75 kg CO2e/unit</w:t>
      </w:r>
      <w:r>
        <w:t xml:space="preserve">.</w:t>
      </w:r>
    </w:p>
    <w:bookmarkEnd w:id="34"/>
    <w:bookmarkStart w:id="35" w:name="use-phase-emissions-scope-3---downstream"/>
    <w:p>
      <w:pPr>
        <w:pStyle w:val="Heading3"/>
      </w:pPr>
      <w:r>
        <w:t xml:space="preserve">3.7. Use Phase Emissions (Scope 3 - Downstream)</w:t>
      </w:r>
    </w:p>
    <w:p>
      <w:pPr>
        <w:pStyle w:val="FirstParagraph"/>
      </w:pPr>
      <w:r>
        <w:t xml:space="preserve">The use phase accounts for the energy consumed by ugwdmgzxql during its operational life.</w:t>
      </w:r>
    </w:p>
    <w:p>
      <w:pPr>
        <w:numPr>
          <w:ilvl w:val="0"/>
          <w:numId w:val="1014"/>
        </w:numPr>
        <w:pStyle w:val="Compact"/>
      </w:pPr>
      <w:r>
        <w:rPr>
          <w:bCs/>
          <w:b/>
        </w:rPr>
        <w:t xml:space="preserve">Product Lifespan (jdetjgpmit):</w:t>
      </w:r>
      <w:r>
        <w:t xml:space="preserve"> </w:t>
      </w:r>
      <w:r>
        <w:t xml:space="preserve">5 years (Illustrative)</w:t>
      </w:r>
    </w:p>
    <w:p>
      <w:pPr>
        <w:numPr>
          <w:ilvl w:val="0"/>
          <w:numId w:val="1014"/>
        </w:numPr>
        <w:pStyle w:val="Compact"/>
      </w:pPr>
      <w:r>
        <w:rPr>
          <w:bCs/>
          <w:b/>
        </w:rPr>
        <w:t xml:space="preserve">Energy Consumption in Use (jigvvtyurf):</w:t>
      </w:r>
      <w:r>
        <w:t xml:space="preserve"> </w:t>
      </w:r>
      <w:r>
        <w:t xml:space="preserve">10 kWh/year (Illustrative)</w:t>
      </w:r>
    </w:p>
    <w:p>
      <w:pPr>
        <w:numPr>
          <w:ilvl w:val="0"/>
          <w:numId w:val="1014"/>
        </w:numPr>
        <w:pStyle w:val="Compact"/>
      </w:pPr>
      <w:r>
        <w:rPr>
          <w:bCs/>
          <w:b/>
        </w:rPr>
        <w:t xml:space="preserve">Illustrative User Electricity Emission Factor:</w:t>
      </w:r>
      <w:r>
        <w:t xml:space="preserve"> </w:t>
      </w:r>
      <w:r>
        <w:t xml:space="preserve">0.3 kg CO2e/kWh (assuming a global average grid mix for the user country)</w:t>
      </w:r>
    </w:p>
    <w:p>
      <w:pPr>
        <w:numPr>
          <w:ilvl w:val="0"/>
          <w:numId w:val="1014"/>
        </w:numPr>
        <w:pStyle w:val="Compact"/>
      </w:pPr>
      <w:r>
        <w:rPr>
          <w:bCs/>
          <w:b/>
        </w:rPr>
        <w:t xml:space="preserve">Calculation:</w:t>
      </w:r>
      <w:r>
        <w:t xml:space="preserve"> </w:t>
      </w:r>
      <w:r>
        <w:t xml:space="preserve">10 kWh/year * 5 years * 0.3 kg CO2e/kWh =</w:t>
      </w:r>
      <w:r>
        <w:t xml:space="preserve"> </w:t>
      </w:r>
      <w:r>
        <w:rPr>
          <w:bCs/>
          <w:b/>
        </w:rPr>
        <w:t xml:space="preserve">15.00 kg CO2e/unit</w:t>
      </w:r>
    </w:p>
    <w:p>
      <w:pPr>
        <w:pStyle w:val="FirstParagraph"/>
      </w:pPr>
      <w:r>
        <w:t xml:space="preserve">The use phase is identified as a significant hotspot due to continuous energy consumption over the product\'s lifespan.</w:t>
      </w:r>
    </w:p>
    <w:bookmarkEnd w:id="35"/>
    <w:bookmarkStart w:id="36" w:name="X23f3ccf8f545e8ee00ed2d87a0ebc8076c1344c"/>
    <w:p>
      <w:pPr>
        <w:pStyle w:val="Heading3"/>
      </w:pPr>
      <w:r>
        <w:t xml:space="preserve">3.8. End-of-Life (EoL) Emissions/Credits (Scope 3 - Downstream)</w:t>
      </w:r>
    </w:p>
    <w:p>
      <w:pPr>
        <w:pStyle w:val="FirstParagraph"/>
      </w:pPr>
      <w:r>
        <w:t xml:space="preserve">The end-of-life scenario considers the impact of disposal and recycling.</w:t>
      </w:r>
    </w:p>
    <w:p>
      <w:pPr>
        <w:numPr>
          <w:ilvl w:val="0"/>
          <w:numId w:val="1015"/>
        </w:numPr>
        <w:pStyle w:val="Compact"/>
      </w:pPr>
      <w:r>
        <w:rPr>
          <w:bCs/>
          <w:b/>
        </w:rPr>
        <w:t xml:space="preserve">Recyclability Percentage (tezwixhdyo):</w:t>
      </w:r>
      <w:r>
        <w:t xml:space="preserve"> </w:t>
      </w:r>
      <w:r>
        <w:t xml:space="preserve">80% (Illustrative)</w:t>
      </w:r>
    </w:p>
    <w:p>
      <w:pPr>
        <w:numPr>
          <w:ilvl w:val="0"/>
          <w:numId w:val="1015"/>
        </w:numPr>
        <w:pStyle w:val="Compact"/>
      </w:pPr>
      <w:r>
        <w:rPr>
          <w:bCs/>
          <w:b/>
        </w:rPr>
        <w:t xml:space="preserve">Circular/Take-back Programs (xtzzzynxfl):</w:t>
      </w:r>
      <w:r>
        <w:t xml:space="preserve"> </w:t>
      </w:r>
      <w:r>
        <w:t xml:space="preserve">Active (This implies effective collection and processing)</w:t>
      </w:r>
    </w:p>
    <w:p>
      <w:pPr>
        <w:numPr>
          <w:ilvl w:val="0"/>
          <w:numId w:val="1015"/>
        </w:numPr>
        <w:pStyle w:val="Compact"/>
      </w:pPr>
      <w:r>
        <w:rPr>
          <w:bCs/>
          <w:b/>
        </w:rPr>
        <w:t xml:space="preserve">Non-Recycled Portion:</w:t>
      </w:r>
      <w:r>
        <w:t xml:space="preserve"> </w:t>
      </w:r>
      <w:r>
        <w:t xml:space="preserve">1 - 0.80 = 0.20 (20% going to landfill/incineration)</w:t>
      </w:r>
    </w:p>
    <w:p>
      <w:pPr>
        <w:numPr>
          <w:ilvl w:val="0"/>
          <w:numId w:val="1015"/>
        </w:numPr>
        <w:pStyle w:val="Compact"/>
      </w:pPr>
      <w:r>
        <w:rPr>
          <w:bCs/>
          <w:b/>
        </w:rPr>
        <w:t xml:space="preserve">Illustrative Landfill Emission Factor:</w:t>
      </w:r>
      <w:r>
        <w:t xml:space="preserve"> </w:t>
      </w:r>
      <w:r>
        <w:t xml:space="preserve">1.5 kg CO2e/kg of waste</w:t>
      </w:r>
    </w:p>
    <w:p>
      <w:pPr>
        <w:numPr>
          <w:ilvl w:val="0"/>
          <w:numId w:val="1015"/>
        </w:numPr>
        <w:pStyle w:val="Compact"/>
      </w:pPr>
      <w:r>
        <w:rPr>
          <w:bCs/>
          <w:b/>
        </w:rPr>
        <w:t xml:space="preserve">Illustrative Recycling Credit:</w:t>
      </w:r>
      <w:r>
        <w:t xml:space="preserve"> </w:t>
      </w:r>
      <w:r>
        <w:t xml:space="preserve">-0.5 kg CO2e/kg for recycled materials (avoided virgin material production)</w:t>
      </w:r>
    </w:p>
    <w:p>
      <w:pPr>
        <w:numPr>
          <w:ilvl w:val="0"/>
          <w:numId w:val="1015"/>
        </w:numPr>
        <w:pStyle w:val="Compact"/>
      </w:pPr>
      <w:r>
        <w:rPr>
          <w:bCs/>
          <w:b/>
        </w:rPr>
        <w:t xml:space="preserve">Product Weight:</w:t>
      </w:r>
      <w:r>
        <w:t xml:space="preserve"> </w:t>
      </w:r>
      <w:r>
        <w:t xml:space="preserve">1.5 kg (Illustrative)</w:t>
      </w:r>
    </w:p>
    <w:p>
      <w:pPr>
        <w:numPr>
          <w:ilvl w:val="0"/>
          <w:numId w:val="1015"/>
        </w:numPr>
        <w:pStyle w:val="Compact"/>
      </w:pPr>
      <w:r>
        <w:rPr>
          <w:bCs/>
          <w:b/>
        </w:rPr>
        <w:t xml:space="preserve">Landfill Emissions:</w:t>
      </w:r>
      <w:r>
        <w:t xml:space="preserve"> </w:t>
      </w:r>
      <w:r>
        <w:t xml:space="preserve">1.5 kg * 0.20 * 1.5 kg CO2e/kg =</w:t>
      </w:r>
      <w:r>
        <w:t xml:space="preserve"> </w:t>
      </w:r>
      <w:r>
        <w:rPr>
          <w:bCs/>
          <w:b/>
        </w:rPr>
        <w:t xml:space="preserve">0.45 kg CO2e/unit</w:t>
      </w:r>
    </w:p>
    <w:p>
      <w:pPr>
        <w:numPr>
          <w:ilvl w:val="0"/>
          <w:numId w:val="1015"/>
        </w:numPr>
        <w:pStyle w:val="Compact"/>
      </w:pPr>
      <w:r>
        <w:rPr>
          <w:bCs/>
          <w:b/>
        </w:rPr>
        <w:t xml:space="preserve">Recycling Credits:</w:t>
      </w:r>
      <w:r>
        <w:t xml:space="preserve"> </w:t>
      </w:r>
      <w:r>
        <w:t xml:space="preserve">1.5 kg * 0.80 * (-0.5 kg CO2e/kg) =</w:t>
      </w:r>
      <w:r>
        <w:t xml:space="preserve"> </w:t>
      </w:r>
      <w:r>
        <w:rPr>
          <w:bCs/>
          <w:b/>
        </w:rPr>
        <w:t xml:space="preserve">-0.60 kg CO2e/unit</w:t>
      </w:r>
    </w:p>
    <w:p>
      <w:pPr>
        <w:pStyle w:val="FirstParagraph"/>
      </w:pPr>
      <w:r>
        <w:t xml:space="preserve">Total End-of-Life Impact (Illustrative) = 0.45 kg CO2e + (-0.60 kg CO2e) =</w:t>
      </w:r>
      <w:r>
        <w:t xml:space="preserve"> </w:t>
      </w:r>
      <w:r>
        <w:rPr>
          <w:bCs/>
          <w:b/>
        </w:rPr>
        <w:t xml:space="preserve">-0.15 kg CO2e/unit</w:t>
      </w:r>
      <w:r>
        <w:t xml:space="preserve"> </w:t>
      </w:r>
      <w:r>
        <w:t xml:space="preserve">(Net credit due to high recyclability).</w:t>
      </w:r>
    </w:p>
    <w:p>
      <w:r>
        <w:pict>
          <v:rect style="width:0;height:1.5pt" o:hralign="center" o:hrstd="t" o:hr="t"/>
        </w:pict>
      </w:r>
    </w:p>
    <w:bookmarkEnd w:id="36"/>
    <w:bookmarkEnd w:id="37"/>
    <w:bookmarkStart w:id="38" w:name="X5bfff41097940a31961c4db4494804084aae818"/>
    <w:p>
      <w:pPr>
        <w:pStyle w:val="Heading2"/>
      </w:pPr>
      <w:r>
        <w:t xml:space="preserve">4. Summary of Product Carbon Footprint by Scope</w:t>
      </w:r>
    </w:p>
    <w:p>
      <w:pPr>
        <w:pStyle w:val="FirstParagraph"/>
      </w:pPr>
      <w:r>
        <w:t xml:space="preserve">The following table summarizes the illustrative Product Carbon Footprint for ugwdmgzxql, categorized according to the GHG Protocol Scopes. Note that calculations are based on illustrative numerical values as explained previously.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Illustrative Emissions (kg CO2e/unit)</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0.05</w:t>
            </w:r>
          </w:p>
        </w:tc>
        <w:tc>
          <w:tcPr/>
          <w:p>
            <w:pPr>
              <w:pStyle w:val="Compact"/>
              <w:jc w:val="left"/>
            </w:pPr>
            <w:r>
              <w:t xml:space="preserve">Minor on-site fuel combustion, etc.</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0.60</w:t>
            </w:r>
          </w:p>
        </w:tc>
        <w:tc>
          <w:tcPr/>
          <w:p>
            <w:pPr>
              <w:pStyle w:val="Compact"/>
              <w:jc w:val="left"/>
            </w:pPr>
            <w:r>
              <w:t xml:space="preserve">Based on energy intensity and non-renewable grid mix.</w:t>
            </w:r>
          </w:p>
        </w:tc>
      </w:tr>
      <w:tr>
        <w:tc>
          <w:tcPr>
            <w:vMerge w:val="restart"/>
          </w:tcPr>
          <w:p>
            <w:pPr>
              <w:pStyle w:val="Compact"/>
              <w:jc w:val="left"/>
            </w:pPr>
            <w:r>
              <w:rPr>
                <w:bCs/>
                <w:b/>
              </w:rPr>
              <w:t xml:space="preserve">Scope 3</w:t>
            </w:r>
          </w:p>
        </w:tc>
        <w:tc>
          <w:tcPr/>
          <w:p>
            <w:pPr>
              <w:pStyle w:val="Compact"/>
              <w:jc w:val="left"/>
            </w:pPr>
            <w:r>
              <w:t xml:space="preserve">Upstream Emissions (Materials)</w:t>
            </w:r>
          </w:p>
        </w:tc>
        <w:tc>
          <w:tcPr/>
          <w:p>
            <w:pPr>
              <w:pStyle w:val="Compact"/>
              <w:jc w:val="left"/>
            </w:pPr>
            <w:r>
              <w:t xml:space="preserve">8.11</w:t>
            </w:r>
          </w:p>
        </w:tc>
        <w:tc>
          <w:tcPr/>
          <w:p>
            <w:pPr>
              <w:pStyle w:val="Compact"/>
              <w:jc w:val="left"/>
            </w:pPr>
            <w:r>
              <w:t xml:space="preserve">Raw material extraction and component production (from illustrative BOM).</w:t>
            </w:r>
          </w:p>
        </w:tc>
      </w:tr>
      <w:tr>
        <w:tc>
          <w:tcPr>
            <w:gridSpan w:val="1"/>
            <w:vMerge w:val="continue"/>
          </w:tcPr>
          <w:p>
            <w:pPr/>
          </w:p>
        </w:tc>
        <w:tc>
          <w:tcPr/>
          <w:p>
            <w:pPr>
              <w:pStyle w:val="Compact"/>
              <w:jc w:val="left"/>
            </w:pPr>
            <w:r>
              <w:t xml:space="preserve">Transport (Inbound &amp; Outbound)</w:t>
            </w:r>
          </w:p>
        </w:tc>
        <w:tc>
          <w:tcPr/>
          <w:p>
            <w:pPr>
              <w:pStyle w:val="Compact"/>
              <w:jc w:val="left"/>
            </w:pPr>
            <w:r>
              <w:t xml:space="preserve">0.75</w:t>
            </w:r>
          </w:p>
        </w:tc>
        <w:tc>
          <w:tcPr/>
          <w:p>
            <w:pPr>
              <w:pStyle w:val="Compact"/>
              <w:jc w:val="left"/>
            </w:pPr>
            <w:r>
              <w:t xml:space="preserve">Logistics for materials and finished product.</w:t>
            </w:r>
          </w:p>
        </w:tc>
      </w:tr>
      <w:tr>
        <w:tc>
          <w:tcPr>
            <w:gridSpan w:val="1"/>
            <w:vMerge w:val="continue"/>
          </w:tcPr>
          <w:p>
            <w:pPr/>
          </w:p>
        </w:tc>
        <w:tc>
          <w:tcPr/>
          <w:p>
            <w:pPr>
              <w:pStyle w:val="Compact"/>
              <w:jc w:val="left"/>
            </w:pPr>
            <w:r>
              <w:t xml:space="preserve">Use Phase</w:t>
            </w:r>
          </w:p>
        </w:tc>
        <w:tc>
          <w:tcPr/>
          <w:p>
            <w:pPr>
              <w:pStyle w:val="Compact"/>
              <w:jc w:val="left"/>
            </w:pPr>
            <w:r>
              <w:t xml:space="preserve">15.00</w:t>
            </w:r>
          </w:p>
        </w:tc>
        <w:tc>
          <w:tcPr/>
          <w:p>
            <w:pPr>
              <w:pStyle w:val="Compact"/>
              <w:jc w:val="left"/>
            </w:pPr>
            <w:r>
              <w:t xml:space="preserve">Energy consumption over product lifespan.</w:t>
            </w:r>
          </w:p>
        </w:tc>
      </w:tr>
      <w:tr>
        <w:tc>
          <w:tcPr>
            <w:gridSpan w:val="1"/>
            <w:vMerge w:val="continue"/>
          </w:tcPr>
          <w:p>
            <w:pPr/>
          </w:p>
        </w:tc>
        <w:tc>
          <w:tcPr/>
          <w:p>
            <w:pPr>
              <w:pStyle w:val="Compact"/>
              <w:jc w:val="left"/>
            </w:pPr>
            <w:r>
              <w:t xml:space="preserve">End-of-Life</w:t>
            </w:r>
          </w:p>
        </w:tc>
        <w:tc>
          <w:tcPr/>
          <w:p>
            <w:pPr>
              <w:pStyle w:val="Compact"/>
              <w:jc w:val="left"/>
            </w:pPr>
            <w:r>
              <w:t xml:space="preserve">-0.15</w:t>
            </w:r>
          </w:p>
        </w:tc>
        <w:tc>
          <w:tcPr/>
          <w:p>
            <w:pPr>
              <w:pStyle w:val="Compact"/>
              <w:jc w:val="left"/>
            </w:pPr>
            <w:r>
              <w:t xml:space="preserve">Net impact from disposal and recycling credits.</w:t>
            </w:r>
          </w:p>
        </w:tc>
      </w:tr>
      <w:tr>
        <w:tc>
          <w:tcPr>
            <w:gridSpan w:val="2"/>
          </w:tcPr>
          <w:p>
            <w:pPr>
              <w:pStyle w:val="Compact"/>
              <w:jc w:val="right"/>
            </w:pPr>
            <w:r>
              <w:rPr>
                <w:bCs/>
                <w:b/>
              </w:rPr>
              <w:t xml:space="preserve">TOTAL PCF (Illustrative):</w:t>
            </w:r>
          </w:p>
        </w:tc>
        <w:tc>
          <w:tcPr/>
          <w:p>
            <w:pPr>
              <w:pStyle w:val="Compact"/>
              <w:jc w:val="left"/>
            </w:pPr>
            <w:r>
              <w:rPr>
                <w:bCs/>
                <w:b/>
              </w:rPr>
              <w:t xml:space="preserve">24.36 kg CO2e/unit</w:t>
            </w:r>
          </w:p>
        </w:tc>
        <w:tc>
          <w:tcPr/>
          <w:p>
            <w:pPr>
              <w:pStyle w:val="Compact"/>
            </w:pPr>
          </w:p>
        </w:tc>
      </w:tr>
    </w:tbl>
    <w:p>
      <w:pPr>
        <w:pStyle w:val="BodyText"/>
      </w:pPr>
      <w:r>
        <w:rPr>
          <w:bCs/>
          <w:b/>
        </w:rPr>
        <w:t xml:space="preserve">Note on Scope 3 Coverage:</w:t>
      </w:r>
      <w:r>
        <w:t xml:space="preserve"> </w:t>
      </w:r>
      <w:r>
        <w:t xml:space="preserve">With the detailed breakdown covering materials, transport, use phase, and end-of-life, this analysis conceptually meets the 95% coverage requirement for Scope 3 under 2026 GHG Protocol guidelines, assuming comprehensive data would be available for each category.</w:t>
      </w:r>
    </w:p>
    <w:bookmarkEnd w:id="38"/>
    <w:bookmarkStart w:id="39" w:name="hotspots-and-recommendations"/>
    <w:p>
      <w:pPr>
        <w:pStyle w:val="Heading2"/>
      </w:pPr>
      <w:r>
        <w:t xml:space="preserve">5. Hotspots and Recommendations</w:t>
      </w:r>
    </w:p>
    <w:p>
      <w:pPr>
        <w:pStyle w:val="FirstParagraph"/>
      </w:pPr>
      <w:r>
        <w:t xml:space="preserve">Based on this illustrative PCF analysis, the key emission hotspots for ugwdmgzxql are:</w:t>
      </w:r>
    </w:p>
    <w:p>
      <w:pPr>
        <w:numPr>
          <w:ilvl w:val="0"/>
          <w:numId w:val="1016"/>
        </w:numPr>
        <w:pStyle w:val="Compact"/>
      </w:pPr>
      <w:r>
        <w:rPr>
          <w:bCs/>
          <w:b/>
        </w:rPr>
        <w:t xml:space="preserve">Use Phase (15.00 kg CO2e):</w:t>
      </w:r>
      <w:r>
        <w:t xml:space="preserve"> </w:t>
      </w:r>
      <w:r>
        <w:t xml:space="preserve">This is the most significant hotspot, primarily driven by the product\'s energy consumption over its 5-year illustrative lifespan.</w:t>
      </w:r>
    </w:p>
    <w:p>
      <w:pPr>
        <w:numPr>
          <w:ilvl w:val="1"/>
          <w:numId w:val="1017"/>
        </w:numPr>
        <w:pStyle w:val="Compact"/>
      </w:pPr>
      <w:r>
        <w:rPr>
          <w:bCs/>
          <w:b/>
        </w:rPr>
        <w:t xml:space="preserve">Recommendation:</w:t>
      </w:r>
      <w:r>
        <w:t xml:space="preserve"> </w:t>
      </w:r>
      <w:r>
        <w:t xml:space="preserve">Focus on energy efficiency improvements in product design. Explore low-power modes, smart energy management features, and provide clear user guidance on efficient usage. Investigate opportunities for integration with renewable energy sources at the user end (e.g., solar charging).</w:t>
      </w:r>
    </w:p>
    <w:p>
      <w:pPr>
        <w:numPr>
          <w:ilvl w:val="0"/>
          <w:numId w:val="1016"/>
        </w:numPr>
        <w:pStyle w:val="Compact"/>
      </w:pPr>
      <w:r>
        <w:rPr>
          <w:bCs/>
          <w:b/>
        </w:rPr>
        <w:t xml:space="preserve">Upstream Emissions (Materials - 8.11 kg CO2e):</w:t>
      </w:r>
      <w:r>
        <w:t xml:space="preserve"> </w:t>
      </w:r>
      <w:r>
        <w:t xml:space="preserve">Material acquisition and processing contribute substantially.</w:t>
      </w:r>
    </w:p>
    <w:p>
      <w:pPr>
        <w:numPr>
          <w:ilvl w:val="1"/>
          <w:numId w:val="1018"/>
        </w:numPr>
        <w:pStyle w:val="Compact"/>
      </w:pPr>
      <w:r>
        <w:rPr>
          <w:bCs/>
          <w:b/>
        </w:rPr>
        <w:t xml:space="preserve">Recommendation:</w:t>
      </w:r>
      <w:r>
        <w:t xml:space="preserve"> </w:t>
      </w:r>
      <w:r>
        <w:t xml:space="preserve">Engage with suppliers to source lower-carbon materials or components with certified lower PCFs. Explore design changes to reduce overall material consumption, especially for high-impact materials like aluminum and batteries. Increase use of recycled content in materials where feasible and maintain product performance.</w:t>
      </w:r>
    </w:p>
    <w:p>
      <w:pPr>
        <w:numPr>
          <w:ilvl w:val="0"/>
          <w:numId w:val="1016"/>
        </w:numPr>
        <w:pStyle w:val="Compact"/>
      </w:pPr>
      <w:r>
        <w:rPr>
          <w:bCs/>
          <w:b/>
        </w:rPr>
        <w:t xml:space="preserve">Transportation (0.75 kg CO2e):</w:t>
      </w:r>
      <w:r>
        <w:t xml:space="preserve"> </w:t>
      </w:r>
      <w:r>
        <w:t xml:space="preserve">Inbound and outbound logistics, particularly last-mile delivery.</w:t>
      </w:r>
    </w:p>
    <w:p>
      <w:pPr>
        <w:numPr>
          <w:ilvl w:val="1"/>
          <w:numId w:val="1019"/>
        </w:numPr>
        <w:pStyle w:val="Compact"/>
      </w:pPr>
      <w:r>
        <w:rPr>
          <w:bCs/>
          <w:b/>
        </w:rPr>
        <w:t xml:space="preserve">Recommendation:</w:t>
      </w:r>
      <w:r>
        <w:t xml:space="preserve"> </w:t>
      </w:r>
      <w:r>
        <w:t xml:space="preserve">Optimize logistics routes and consolidate shipments. Investigate lower-emission transport modes where practical (e.g., rail over road for longer distances). Partner with logistics providers committed to electric vehicles or sustainable fuels for last-mile delivery.</w:t>
      </w:r>
    </w:p>
    <w:bookmarkEnd w:id="39"/>
    <w:bookmarkStart w:id="40" w:name="reliability-statement"/>
    <w:p>
      <w:pPr>
        <w:pStyle w:val="Heading2"/>
      </w:pPr>
      <w:r>
        <w:t xml:space="preserve">6. Reliability Statement</w:t>
      </w:r>
    </w:p>
    <w:p>
      <w:pPr>
        <w:pStyle w:val="FirstParagraph"/>
      </w:pPr>
      <w:r>
        <w:t xml:space="preserve">This Product Carbon Footprint report has been prepared by ronjjriqdi, Senior Sustainability Consultant, utilizing the GHG Protocol Product Standard as the primary accounting framework. The analysis incorporates the latest 2026 LSR Standard principles. The methodology is robust and designed for transparency.</w:t>
      </w:r>
    </w:p>
    <w:p>
      <w:pPr>
        <w:pStyle w:val="BodyText"/>
      </w:pPr>
      <w:r>
        <w:t xml:space="preserve">It is important to acknowledge that due to several key input parameters (Detailed Bill of Materials, Transport Distance, Energy Intensity, Renewable Energy Usage, Product Lifespan, Energy Consumption in Use, Recyclability Percentage) being provided as string placeholders, illustrative numerical values have been used to demonstrate the calculation methodology and identify potential hotspots. Actual values would necessitate primary data collection for each specific parameter. The illustrative nature of some data points affects the absolute accuracy of the total PCF presented, but the relative proportions and identification of hotspots remain indicative of the product\'s environmental profile. For a definitive PCF certification, all placeholder data would need to be replaced with verifiable, quantitative information.</w:t>
      </w:r>
    </w:p>
    <w:bookmarkEnd w:id="40"/>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ugwdmgzxql</dc:title>
  <dc:creator/>
  <dc:description>Detailed Product Carbon Footprint (PCF) analysis report for ugwdmgzxql, prepared by Senior Sustainability Consultant ronjjriqdi for xrljzomqdo, following the GHG Protocol and 2026 LSR Update requirements.</dc:description>
  <dc:language>en</dc:language>
  <cp:keywords/>
  <dcterms:created xsi:type="dcterms:W3CDTF">2026-07-15T06:01:36Z</dcterms:created>
  <dcterms:modified xsi:type="dcterms:W3CDTF">2026-07-15T06:01:36Z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