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uddnmlpikr</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product-uddnmlpikr"/>
    <w:p>
      <w:pPr>
        <w:pStyle w:val="Heading2"/>
      </w:pPr>
      <w:r>
        <w:t xml:space="preserve">For Product: uddnmlpikr</w:t>
      </w:r>
    </w:p>
    <w:p>
      <w:pPr>
        <w:pStyle w:val="FirstParagraph"/>
      </w:pPr>
      <w:r>
        <w:rPr>
          <w:bCs/>
          <w:b/>
        </w:rPr>
        <w:t xml:space="preserve">Company Name:</w:t>
      </w:r>
      <w:r>
        <w:t xml:space="preserve"> </w:t>
      </w:r>
      <w:r>
        <w:t xml:space="preserve">liwrvlnpli</w:t>
      </w:r>
    </w:p>
    <w:p>
      <w:pPr>
        <w:pStyle w:val="BodyText"/>
      </w:pPr>
      <w:r>
        <w:rPr>
          <w:bCs/>
          <w:b/>
        </w:rPr>
        <w:t xml:space="preserve">Senior Sustainability Consultant:</w:t>
      </w:r>
      <w:r>
        <w:t xml:space="preserve"> </w:t>
      </w:r>
      <w:r>
        <w:t xml:space="preserve">nkhxfmrtwv</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All numerical values derived from placeholder strings are illustrative examples for methodology demonstration. Actual calculations would require precise quantitative data for each parameter.</w:t>
      </w:r>
    </w:p>
    <w:bookmarkEnd w:id="20"/>
    <w:bookmarkEnd w:id="21"/>
    <w:bookmarkStart w:id="48" w:name="Xd2232e9e59142c5a2307ecfae2afcb31cc3d116"/>
    <w:p>
      <w:pPr>
        <w:pStyle w:val="Heading1"/>
      </w:pPr>
      <w:r>
        <w:t xml:space="preserve">Product Carbon Footprint Report for uddnmlpikr</w:t>
      </w:r>
    </w:p>
    <w:p>
      <w:pPr>
        <w:pStyle w:val="FirstParagraph"/>
      </w:pPr>
      <w:r>
        <w:rPr>
          <w:bCs/>
          <w:b/>
        </w:rPr>
        <w:t xml:space="preserve">Generated Date:</w:t>
      </w:r>
      <w:r>
        <w:t xml:space="preserve"> </w:t>
      </w:r>
      <w:r>
        <w:t xml:space="preserve">May 29,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\'uddnmlpikr\', manufactured by \'liwrvlnpli\'. The assessment follows the Greenhouse Gas (GHG) Protocol standards, incorporating the 2026 Land Sector and Removals (LSR) Standard update and aiming for at least 95% Scope 3 coverage. The analysis maps the product\'s lifecycle, from material acquisition and manufacturing to transportation, use phase, and end-of-life, providing a comprehensive understanding of its environmental impact. This report was prepared by nkhxfmrtwv, Senior Sustainability Consultant.</w:t>
      </w:r>
    </w:p>
    <w:p>
      <w:r>
        <w:pict>
          <v:rect style="width:0;height:1.5pt" o:hralign="center" o:hrstd="t" o:hr="t"/>
        </w:pict>
      </w:r>
    </w:p>
    <w:bookmarkEnd w:id="22"/>
    <w:bookmarkStart w:id="27" w:name="methodology-and-scope-definition"/>
    <w:p>
      <w:pPr>
        <w:pStyle w:val="Heading2"/>
      </w:pPr>
      <w:r>
        <w:t xml:space="preserve">1. Methodology and Scope Definition</w:t>
      </w:r>
    </w:p>
    <w:p>
      <w:pPr>
        <w:pStyle w:val="FirstParagraph"/>
      </w:pPr>
      <w:r>
        <w:t xml:space="preserve">The Product Carbon Footprint (PCF) analysis for uddnmlpikr adheres to the five-step methodology prescribed by the GHG Protocol.</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 uddnmlpikr.</w:t>
      </w:r>
    </w:p>
    <w:bookmarkEnd w:id="23"/>
    <w:bookmarkStart w:id="24" w:name="system-boundary"/>
    <w:p>
      <w:pPr>
        <w:pStyle w:val="Heading3"/>
      </w:pPr>
      <w:r>
        <w:t xml:space="preserve">1.2. System Boundary</w:t>
      </w:r>
    </w:p>
    <w:p>
      <w:pPr>
        <w:pStyle w:val="FirstParagraph"/>
      </w:pPr>
      <w:r>
        <w:t xml:space="preserve">The system boundary for this PCF analysis is set as</w:t>
      </w:r>
      <w:r>
        <w:t xml:space="preserve"> </w:t>
      </w:r>
      <w:r>
        <w:rPr>
          <w:bCs/>
          <w:b/>
        </w:rPr>
        <w:t xml:space="preserve">factory_gate</w:t>
      </w:r>
      <w:r>
        <w:t xml:space="preserve">. This primarily focuses on upstream and core manufacturing emissions. However, in line with comprehensive PCF best practices and the provided parameters, the analysis also extends to cover downstream emissions related to transportation, the product\'s use phase, and its end-of-life treatment, ensuring a holistic view of the product\'s lifecycle impact (cradle-to-grave approach, despite the "factory_gate" primary focus). All relevant Scope 3 categories, as per GHG Protocol, have been considered.</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5"/>
    <w:bookmarkStart w:id="26" w:name="allocation"/>
    <w:p>
      <w:pPr>
        <w:pStyle w:val="Heading3"/>
      </w:pPr>
      <w:r>
        <w:t xml:space="preserve">1.4. Allocation</w:t>
      </w:r>
    </w:p>
    <w:p>
      <w:pPr>
        <w:pStyle w:val="FirstParagraph"/>
      </w:pPr>
      <w:r>
        <w:t xml:space="preserve">Emissions are allocated directly to the functional unit of \'uddnmlpikr\'. Where shared processes or infrastructure are identified, appropriate allocation methods (e.g., mass, economic value) would be applied to ensure accurate assignment of environmental burdens to the product. For this report, direct allocation based on material quantities and energy consumption attributable to one functional unit is primarily used.</w:t>
      </w:r>
    </w:p>
    <w:p>
      <w:r>
        <w:pict>
          <v:rect style="width:0;height:1.5pt" o:hralign="center" o:hrstd="t" o:hr="t"/>
        </w:pict>
      </w:r>
    </w:p>
    <w:bookmarkEnd w:id="26"/>
    <w:bookmarkEnd w:id="27"/>
    <w:bookmarkStart w:id="33" w:name="X1a4f9f8d432a3b187db5d96348c0977937c2d9a"/>
    <w:p>
      <w:pPr>
        <w:pStyle w:val="Heading2"/>
      </w:pPr>
      <w:r>
        <w:t xml:space="preserve">2. Lifecycle Inventory (LCI) Stages and Data Collection</w:t>
      </w:r>
    </w:p>
    <w:p>
      <w:pPr>
        <w:pStyle w:val="FirstParagraph"/>
      </w:pPr>
      <w:r>
        <w:t xml:space="preserve">This section details the various lifecycle stages considered and the data points collected for the PCF analysis of uddnmlpikr.</w:t>
      </w:r>
    </w:p>
    <w:bookmarkStart w:id="28" w:name="Xcd2742faac8e74c9d8fc8e56c9de34462df243b"/>
    <w:p>
      <w:pPr>
        <w:pStyle w:val="Heading3"/>
      </w:pPr>
      <w:r>
        <w:t xml:space="preserve">2.1. Material Acquisition &amp; Production (Scope 3, Category 1)</w:t>
      </w:r>
    </w:p>
    <w:p>
      <w:pPr>
        <w:pStyle w:val="FirstParagraph"/>
      </w:pPr>
      <w:r>
        <w:t xml:space="preserve">The detailed Bill of Materials (BOM) for uddnmlpikr is given as:</w:t>
      </w:r>
      <w:r>
        <w:t xml:space="preserve"> </w:t>
      </w:r>
      <w:r>
        <w:rPr>
          <w:rStyle w:val="VerbatimChar"/>
        </w:rPr>
        <w:t xml:space="preserve">mzgwivez</w:t>
      </w:r>
      <w:r>
        <w:t xml:space="preserve">. For the purpose of demonstrating the calculation, an illustrative BOM structure based on the described format (ID, Description, Category, Process, Qty, Unit, Emission Factor, Total Carbon) is presented below. In a real assessment, the actual data contained within \'mzgwivez\' would be parsed and utilized.</w:t>
      </w:r>
    </w:p>
    <w:p>
      <w:pPr>
        <w:pStyle w:val="BodyText"/>
      </w:pPr>
      <w:r>
        <w:rPr>
          <w:bCs/>
          <w:b/>
        </w:rPr>
        <w:t xml:space="preserve">Illustrative Detailed Bill of Materials (BOM) for uddnmlpikr: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Recycled 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r>
        <w:tc>
          <w:tcPr/>
          <w:p>
            <w:pPr>
              <w:pStyle w:val="Compact"/>
              <w:jc w:val="left"/>
            </w:pPr>
            <w:r>
              <w:t xml:space="preserve">M-003</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0.50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 &amp; Paper Mfg.</w:t>
            </w:r>
          </w:p>
        </w:tc>
        <w:tc>
          <w:tcPr/>
          <w:p>
            <w:pPr>
              <w:pStyle w:val="Compact"/>
              <w:jc w:val="left"/>
            </w:pPr>
            <w:r>
              <w:t xml:space="preserve">0.1</w:t>
            </w:r>
          </w:p>
        </w:tc>
        <w:tc>
          <w:tcPr/>
          <w:p>
            <w:pPr>
              <w:pStyle w:val="Compact"/>
              <w:jc w:val="left"/>
            </w:pPr>
            <w:r>
              <w:t xml:space="preserve">kg</w:t>
            </w:r>
          </w:p>
        </w:tc>
        <w:tc>
          <w:tcPr/>
          <w:p>
            <w:pPr>
              <w:pStyle w:val="Compact"/>
              <w:jc w:val="left"/>
            </w:pPr>
            <w:r>
              <w:t xml:space="preserve">0.8</w:t>
            </w:r>
          </w:p>
        </w:tc>
        <w:tc>
          <w:tcPr/>
          <w:p>
            <w:pPr>
              <w:pStyle w:val="Compact"/>
              <w:jc w:val="left"/>
            </w:pPr>
            <w:r>
              <w:t xml:space="preserve">0.08</w:t>
            </w:r>
          </w:p>
        </w:tc>
      </w:tr>
    </w:tbl>
    <w:bookmarkEnd w:id="28"/>
    <w:bookmarkStart w:id="29" w:name="manufacturingproduction-scope-1-2"/>
    <w:p>
      <w:pPr>
        <w:pStyle w:val="Heading3"/>
      </w:pPr>
      <w:r>
        <w:t xml:space="preserve">2.2. Manufacturing/Production (Scope 1 &amp; 2)</w:t>
      </w:r>
    </w:p>
    <w:p>
      <w:pPr>
        <w:pStyle w:val="FirstParagraph"/>
      </w:pPr>
      <w:r>
        <w:t xml:space="preserve">Emissions from the manufacturing phase primarily include direct emissions (Scope 1, e.g., on-site fuel combustion) and indirect emissions from purchased electricity (Scope 2).</w:t>
      </w:r>
    </w:p>
    <w:p>
      <w:pPr>
        <w:numPr>
          <w:ilvl w:val="0"/>
          <w:numId w:val="1002"/>
        </w:numPr>
        <w:pStyle w:val="Compact"/>
      </w:pPr>
      <w:r>
        <w:rPr>
          <w:bCs/>
          <w:b/>
        </w:rPr>
        <w:t xml:space="preserve">Renewable Energy Usage:</w:t>
      </w:r>
      <w:r>
        <w:t xml:space="preserve"> </w:t>
      </w:r>
      <w:r>
        <w:rPr>
          <w:rStyle w:val="VerbatimChar"/>
        </w:rPr>
        <w:t xml:space="preserve">exwtrsgzmd</w:t>
      </w:r>
      <w:r>
        <w:t xml:space="preserve">. For calculation purposes, we assume a renewable energy share of</w:t>
      </w:r>
      <w:r>
        <w:t xml:space="preserve"> </w:t>
      </w:r>
      <w:r>
        <w:rPr>
          <w:bCs/>
          <w:b/>
        </w:rPr>
        <w:t xml:space="preserve">60%</w:t>
      </w:r>
      <w:r>
        <w:t xml:space="preserve"> </w:t>
      </w:r>
      <w:r>
        <w:t xml:space="preserve">for the facility.</w:t>
      </w:r>
    </w:p>
    <w:p>
      <w:pPr>
        <w:numPr>
          <w:ilvl w:val="0"/>
          <w:numId w:val="1002"/>
        </w:numPr>
        <w:pStyle w:val="Compact"/>
      </w:pPr>
      <w:r>
        <w:rPr>
          <w:bCs/>
          <w:b/>
        </w:rPr>
        <w:t xml:space="preserve">Energy Intensity (kWh/unit):</w:t>
      </w:r>
      <w:r>
        <w:t xml:space="preserve"> </w:t>
      </w:r>
      <w:r>
        <w:rPr>
          <w:rStyle w:val="VerbatimChar"/>
        </w:rPr>
        <w:t xml:space="preserve">ozfmrydmyy</w:t>
      </w:r>
      <w:r>
        <w:t xml:space="preserve">. An illustrative energy intensity of</w:t>
      </w:r>
      <w:r>
        <w:t xml:space="preserve"> </w:t>
      </w:r>
      <w:r>
        <w:rPr>
          <w:bCs/>
          <w:b/>
        </w:rPr>
        <w:t xml:space="preserve">15 kWh/unit</w:t>
      </w:r>
      <w:r>
        <w:t xml:space="preserve"> </w:t>
      </w:r>
      <w:r>
        <w:t xml:space="preserve">is used for manufacturing uddnmlpikr.</w:t>
      </w:r>
    </w:p>
    <w:p>
      <w:pPr>
        <w:numPr>
          <w:ilvl w:val="0"/>
          <w:numId w:val="1002"/>
        </w:numPr>
        <w:pStyle w:val="Compact"/>
      </w:pPr>
      <w:r>
        <w:rPr>
          <w:bCs/>
          <w:b/>
        </w:rPr>
        <w:t xml:space="preserve">Scope 1 Emissions:</w:t>
      </w:r>
      <w:r>
        <w:t xml:space="preserve"> </w:t>
      </w:r>
      <w:r>
        <w:t xml:space="preserve">Assuming no significant on-site direct combustion, Scope 1 emissions are considered negligible for this product\'s manufacturing process, unless specified otherwise by \'liwrvlnpli\'.</w:t>
      </w:r>
    </w:p>
    <w:bookmarkEnd w:id="29"/>
    <w:bookmarkStart w:id="30" w:name="transportation-scope-3-categories-4-9"/>
    <w:p>
      <w:pPr>
        <w:pStyle w:val="Heading3"/>
      </w:pPr>
      <w:r>
        <w:t xml:space="preserve">2.3. Transportation (Scope 3, Categories 4 &amp; 9)</w:t>
      </w:r>
    </w:p>
    <w:p>
      <w:pPr>
        <w:pStyle w:val="FirstParagraph"/>
      </w:pPr>
      <w:r>
        <w:t xml:space="preserve">Transportation impacts cover both upstream (delivery of materials to factory) and downstream (delivery of finished product to customer) logistics.</w:t>
      </w:r>
    </w:p>
    <w:p>
      <w:pPr>
        <w:numPr>
          <w:ilvl w:val="0"/>
          <w:numId w:val="1003"/>
        </w:numPr>
        <w:pStyle w:val="Compact"/>
      </w:pPr>
      <w:r>
        <w:rPr>
          <w:bCs/>
          <w:b/>
        </w:rPr>
        <w:t xml:space="preserve">Transport Mode (Main):</w:t>
      </w:r>
      <w:r>
        <w:t xml:space="preserve"> </w:t>
      </w:r>
      <w:r>
        <w:rPr>
          <w:rStyle w:val="VerbatimChar"/>
        </w:rPr>
        <w:t xml:space="preserve">Select Mode</w:t>
      </w:r>
      <w:r>
        <w:t xml:space="preserve">. For demonstration, we assume</w:t>
      </w:r>
      <w:r>
        <w:t xml:space="preserve"> </w:t>
      </w:r>
      <w:r>
        <w:rPr>
          <w:bCs/>
          <w:b/>
        </w:rPr>
        <w:t xml:space="preserve">Ocean Freight</w:t>
      </w:r>
      <w:r>
        <w:t xml:space="preserve"> </w:t>
      </w:r>
      <w:r>
        <w:t xml:space="preserve">for primary transport from China to Europe.</w:t>
      </w:r>
    </w:p>
    <w:p>
      <w:pPr>
        <w:numPr>
          <w:ilvl w:val="0"/>
          <w:numId w:val="1003"/>
        </w:numPr>
        <w:pStyle w:val="Compact"/>
      </w:pPr>
      <w:r>
        <w:rPr>
          <w:bCs/>
          <w:b/>
        </w:rPr>
        <w:t xml:space="preserve">Transport Distance (Primary):</w:t>
      </w:r>
      <w:r>
        <w:t xml:space="preserve"> </w:t>
      </w:r>
      <w:r>
        <w:rPr>
          <w:rStyle w:val="VerbatimChar"/>
        </w:rPr>
        <w:t xml:space="preserve">olsiyxevso</w:t>
      </w:r>
      <w:r>
        <w:t xml:space="preserve">. An illustrative primary transport distance of</w:t>
      </w:r>
      <w:r>
        <w:t xml:space="preserve"> </w:t>
      </w:r>
      <w:r>
        <w:rPr>
          <w:bCs/>
          <w:b/>
        </w:rPr>
        <w:t xml:space="preserve">15,000 km</w:t>
      </w:r>
      <w:r>
        <w:t xml:space="preserve"> </w:t>
      </w:r>
      <w:r>
        <w:t xml:space="preserve">is used.</w:t>
      </w:r>
    </w:p>
    <w:p>
      <w:pPr>
        <w:numPr>
          <w:ilvl w:val="0"/>
          <w:numId w:val="1003"/>
        </w:numPr>
        <w:pStyle w:val="Compact"/>
      </w:pPr>
      <w:r>
        <w:rPr>
          <w:bCs/>
          <w:b/>
        </w:rPr>
        <w:t xml:space="preserve">Last-Mile Delivery Channel:</w:t>
      </w:r>
      <w:r>
        <w:t xml:space="preserve"> </w:t>
      </w:r>
      <w:r>
        <w:rPr>
          <w:rStyle w:val="VerbatimChar"/>
        </w:rPr>
        <w:t xml:space="preserve">Delivery Type</w:t>
      </w:r>
      <w:r>
        <w:t xml:space="preserve">. For demonstration, we assume</w:t>
      </w:r>
      <w:r>
        <w:t xml:space="preserve"> </w:t>
      </w:r>
      <w:r>
        <w:rPr>
          <w:bCs/>
          <w:b/>
        </w:rPr>
        <w:t xml:space="preserve">Road Freight (LTL)</w:t>
      </w:r>
      <w:r>
        <w:t xml:space="preserve"> </w:t>
      </w:r>
      <w:r>
        <w:t xml:space="preserve">for last-mile delivery.</w:t>
      </w:r>
    </w:p>
    <w:p>
      <w:pPr>
        <w:numPr>
          <w:ilvl w:val="0"/>
          <w:numId w:val="1003"/>
        </w:numPr>
        <w:pStyle w:val="Compact"/>
      </w:pPr>
      <w:r>
        <w:rPr>
          <w:bCs/>
          <w:b/>
        </w:rPr>
        <w:t xml:space="preserve">Illustrative Last-Mile Distance:</w:t>
      </w:r>
      <w:r>
        <w:t xml:space="preserve"> </w:t>
      </w:r>
      <w:r>
        <w:t xml:space="preserve">500 km.</w:t>
      </w:r>
    </w:p>
    <w:bookmarkEnd w:id="30"/>
    <w:bookmarkStart w:id="31" w:name="use-phase-scope-3-category-11"/>
    <w:p>
      <w:pPr>
        <w:pStyle w:val="Heading3"/>
      </w:pPr>
      <w:r>
        <w:t xml:space="preserve">2.4. Use Phase (Scope 3, Category 11)</w:t>
      </w:r>
    </w:p>
    <w:p>
      <w:pPr>
        <w:pStyle w:val="FirstParagraph"/>
      </w:pPr>
      <w:r>
        <w:t xml:space="preserve">The use phase accounts for the energy consumed during the product\'s operational lifetime.</w:t>
      </w:r>
    </w:p>
    <w:p>
      <w:pPr>
        <w:numPr>
          <w:ilvl w:val="0"/>
          <w:numId w:val="1004"/>
        </w:numPr>
        <w:pStyle w:val="Compact"/>
      </w:pPr>
      <w:r>
        <w:rPr>
          <w:bCs/>
          <w:b/>
        </w:rPr>
        <w:t xml:space="preserve">Product Lifespan:</w:t>
      </w:r>
      <w:r>
        <w:t xml:space="preserve"> </w:t>
      </w:r>
      <w:r>
        <w:rPr>
          <w:rStyle w:val="VerbatimChar"/>
        </w:rPr>
        <w:t xml:space="preserve">wvgveydzlf</w:t>
      </w:r>
      <w:r>
        <w:t xml:space="preserve">. An illustrative product lifespan of</w:t>
      </w:r>
      <w:r>
        <w:t xml:space="preserve"> </w:t>
      </w:r>
      <w:r>
        <w:rPr>
          <w:bCs/>
          <w:b/>
        </w:rPr>
        <w:t xml:space="preserve">5 years</w:t>
      </w:r>
      <w:r>
        <w:t xml:space="preserve"> </w:t>
      </w:r>
      <w:r>
        <w:t xml:space="preserve">is assumed.</w:t>
      </w:r>
    </w:p>
    <w:p>
      <w:pPr>
        <w:numPr>
          <w:ilvl w:val="0"/>
          <w:numId w:val="1004"/>
        </w:numPr>
        <w:pStyle w:val="Compact"/>
      </w:pPr>
      <w:r>
        <w:rPr>
          <w:bCs/>
          <w:b/>
        </w:rPr>
        <w:t xml:space="preserve">Energy Consumption in Use (per year):</w:t>
      </w:r>
      <w:r>
        <w:t xml:space="preserve"> </w:t>
      </w:r>
      <w:r>
        <w:rPr>
          <w:rStyle w:val="VerbatimChar"/>
        </w:rPr>
        <w:t xml:space="preserve">pfgprjyhln</w:t>
      </w:r>
      <w:r>
        <w:t xml:space="preserve">. An illustrative energy consumption of</w:t>
      </w:r>
      <w:r>
        <w:t xml:space="preserve"> </w:t>
      </w:r>
      <w:r>
        <w:rPr>
          <w:bCs/>
          <w:b/>
        </w:rPr>
        <w:t xml:space="preserve">10 kWh/year</w:t>
      </w:r>
      <w:r>
        <w:t xml:space="preserve"> </w:t>
      </w:r>
      <w:r>
        <w:t xml:space="preserve">is used.</w:t>
      </w:r>
    </w:p>
    <w:bookmarkEnd w:id="31"/>
    <w:bookmarkStart w:id="32" w:name="end-of-life-eol-scope-3-category-12"/>
    <w:p>
      <w:pPr>
        <w:pStyle w:val="Heading3"/>
      </w:pPr>
      <w:r>
        <w:t xml:space="preserve">2.5. End-of-Life (EoL) (Scope 3, Category 12)</w:t>
      </w:r>
    </w:p>
    <w:p>
      <w:pPr>
        <w:pStyle w:val="FirstParagraph"/>
      </w:pPr>
      <w:r>
        <w:t xml:space="preserve">End-of-life scenarios reflect the fate of the product after its useful life.</w:t>
      </w:r>
    </w:p>
    <w:p>
      <w:pPr>
        <w:numPr>
          <w:ilvl w:val="0"/>
          <w:numId w:val="1005"/>
        </w:numPr>
        <w:pStyle w:val="Compact"/>
      </w:pPr>
      <w:r>
        <w:rPr>
          <w:bCs/>
          <w:b/>
        </w:rPr>
        <w:t xml:space="preserve">Recyclability Percentage:</w:t>
      </w:r>
      <w:r>
        <w:t xml:space="preserve"> </w:t>
      </w:r>
      <w:r>
        <w:rPr>
          <w:rStyle w:val="VerbatimChar"/>
        </w:rPr>
        <w:t xml:space="preserve">qukvtjuhtg</w:t>
      </w:r>
      <w:r>
        <w:t xml:space="preserve">. An illustrative recyclability rate of</w:t>
      </w:r>
      <w:r>
        <w:t xml:space="preserve"> </w:t>
      </w:r>
      <w:r>
        <w:rPr>
          <w:bCs/>
          <w:b/>
        </w:rPr>
        <w:t xml:space="preserve">70%</w:t>
      </w:r>
      <w:r>
        <w:t xml:space="preserve"> </w:t>
      </w:r>
      <w:r>
        <w:t xml:space="preserve">is considered for the product\'s materials.</w:t>
      </w:r>
    </w:p>
    <w:p>
      <w:pPr>
        <w:numPr>
          <w:ilvl w:val="0"/>
          <w:numId w:val="1005"/>
        </w:numPr>
        <w:pStyle w:val="Compact"/>
      </w:pPr>
      <w:r>
        <w:rPr>
          <w:bCs/>
          <w:b/>
        </w:rPr>
        <w:t xml:space="preserve">Circular/Take-back Programs:</w:t>
      </w:r>
      <w:r>
        <w:t xml:space="preserve"> </w:t>
      </w:r>
      <w:r>
        <w:rPr>
          <w:rStyle w:val="VerbatimChar"/>
        </w:rPr>
        <w:t xml:space="preserve">rnyqmmvskh</w:t>
      </w:r>
      <w:r>
        <w:t xml:space="preserve">. The presence of a hypothetical</w:t>
      </w:r>
      <w:r>
        <w:t xml:space="preserve"> </w:t>
      </w:r>
      <w:r>
        <w:rPr>
          <w:bCs/>
          <w:b/>
        </w:rPr>
        <w:t xml:space="preserve">product take-back program</w:t>
      </w:r>
      <w:r>
        <w:t xml:space="preserve"> </w:t>
      </w:r>
      <w:r>
        <w:t xml:space="preserve">is acknowledged, potentially reducing landfill waste.</w:t>
      </w:r>
    </w:p>
    <w:p>
      <w:r>
        <w:pict>
          <v:rect style="width:0;height:1.5pt" o:hralign="center" o:hrstd="t" o:hr="t"/>
        </w:pict>
      </w:r>
    </w:p>
    <w:bookmarkEnd w:id="32"/>
    <w:bookmarkEnd w:id="33"/>
    <w:bookmarkStart w:id="43" w:name="X2c62247db19834934c44c209ad423fe06ba5c64"/>
    <w:p>
      <w:pPr>
        <w:pStyle w:val="Heading2"/>
      </w:pPr>
      <w:r>
        <w:t xml:space="preserve">3. Calculation of Emissions (Activity * Emission Factor = CO2e)</w:t>
      </w:r>
    </w:p>
    <w:p>
      <w:pPr>
        <w:pStyle w:val="FirstParagraph"/>
      </w:pPr>
      <w:r>
        <w:t xml:space="preserve">Emissions are calculated for each lifecycle stage, categorized according to the GHG Protocol\'s Scope 1, Scope 2, and Scope 3 definitions. Industry-standard emission factors (e.g., from Ecoinvent/DEFRA equivalents) are used for all calculations, with illustrative values provided for demonstration.</w:t>
      </w:r>
    </w:p>
    <w:bookmarkStart w:id="34" w:name="illustrative-emission-factors-used"/>
    <w:p>
      <w:pPr>
        <w:pStyle w:val="Heading3"/>
      </w:pPr>
      <w:r>
        <w:t xml:space="preserve">3.1. Illustrative Emission Factors Used</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Activity</w:t>
            </w:r>
          </w:p>
        </w:tc>
        <w:tc>
          <w:tcPr/>
          <w:p>
            <w:pPr>
              <w:pStyle w:val="Compact"/>
              <w:jc w:val="left"/>
            </w:pPr>
            <w:r>
              <w:t xml:space="preserve">Illustrative Emission Factor</w:t>
            </w:r>
          </w:p>
        </w:tc>
        <w:tc>
          <w:tcPr/>
          <w:p>
            <w:pPr>
              <w:pStyle w:val="Compact"/>
              <w:jc w:val="left"/>
            </w:pPr>
            <w:r>
              <w:t xml:space="preserve">Unit</w:t>
            </w:r>
          </w:p>
        </w:tc>
      </w:tr>
      <w:tr>
        <w:tc>
          <w:tcPr/>
          <w:p>
            <w:pPr>
              <w:pStyle w:val="Compact"/>
              <w:jc w:val="left"/>
            </w:pPr>
            <w:r>
              <w:t xml:space="preserve">Electricity (China Grid Average)</w:t>
            </w:r>
          </w:p>
        </w:tc>
        <w:tc>
          <w:tcPr/>
          <w:p>
            <w:pPr>
              <w:pStyle w:val="Compact"/>
              <w:jc w:val="left"/>
            </w:pPr>
            <w:r>
              <w:t xml:space="preserve">Production Energy</w:t>
            </w:r>
          </w:p>
        </w:tc>
        <w:tc>
          <w:tcPr/>
          <w:p>
            <w:pPr>
              <w:pStyle w:val="Compact"/>
              <w:jc w:val="left"/>
            </w:pPr>
            <w:r>
              <w:t xml:space="preserve">0.6</w:t>
            </w:r>
          </w:p>
        </w:tc>
        <w:tc>
          <w:tcPr/>
          <w:p>
            <w:pPr>
              <w:pStyle w:val="Compact"/>
              <w:jc w:val="left"/>
            </w:pPr>
            <w:r>
              <w:t xml:space="preserve">kg CO2e/kWh</w:t>
            </w:r>
          </w:p>
        </w:tc>
      </w:tr>
      <w:tr>
        <w:tc>
          <w:tcPr/>
          <w:p>
            <w:pPr>
              <w:pStyle w:val="Compact"/>
              <w:jc w:val="left"/>
            </w:pPr>
            <w:r>
              <w:t xml:space="preserve">Renewable Electricity</w:t>
            </w:r>
          </w:p>
        </w:tc>
        <w:tc>
          <w:tcPr/>
          <w:p>
            <w:pPr>
              <w:pStyle w:val="Compact"/>
              <w:jc w:val="left"/>
            </w:pPr>
            <w:r>
              <w:t xml:space="preserve">Production Energy (Renewable Share)</w:t>
            </w:r>
          </w:p>
        </w:tc>
        <w:tc>
          <w:tcPr/>
          <w:p>
            <w:pPr>
              <w:pStyle w:val="Compact"/>
              <w:jc w:val="left"/>
            </w:pPr>
            <w:r>
              <w:t xml:space="preserve">0.03</w:t>
            </w:r>
          </w:p>
        </w:tc>
        <w:tc>
          <w:tcPr/>
          <w:p>
            <w:pPr>
              <w:pStyle w:val="Compact"/>
              <w:jc w:val="left"/>
            </w:pPr>
            <w:r>
              <w:t xml:space="preserve">kg CO2e/kWh (residual)</w:t>
            </w:r>
          </w:p>
        </w:tc>
      </w:tr>
      <w:tr>
        <w:tc>
          <w:tcPr/>
          <w:p>
            <w:pPr>
              <w:pStyle w:val="Compact"/>
              <w:jc w:val="left"/>
            </w:pPr>
            <w:r>
              <w:t xml:space="preserve">Ocean Freight</w:t>
            </w:r>
          </w:p>
        </w:tc>
        <w:tc>
          <w:tcPr/>
          <w:p>
            <w:pPr>
              <w:pStyle w:val="Compact"/>
              <w:jc w:val="left"/>
            </w:pPr>
            <w:r>
              <w:t xml:space="preserve">Transport</w:t>
            </w:r>
          </w:p>
        </w:tc>
        <w:tc>
          <w:tcPr/>
          <w:p>
            <w:pPr>
              <w:pStyle w:val="Compact"/>
              <w:jc w:val="left"/>
            </w:pPr>
            <w:r>
              <w:t xml:space="preserve">0.01</w:t>
            </w:r>
          </w:p>
        </w:tc>
        <w:tc>
          <w:tcPr/>
          <w:p>
            <w:pPr>
              <w:pStyle w:val="Compact"/>
              <w:jc w:val="left"/>
            </w:pPr>
            <w:r>
              <w:t xml:space="preserve">kg CO2e/tkm</w:t>
            </w:r>
          </w:p>
        </w:tc>
      </w:tr>
      <w:tr>
        <w:tc>
          <w:tcPr/>
          <w:p>
            <w:pPr>
              <w:pStyle w:val="Compact"/>
              <w:jc w:val="left"/>
            </w:pPr>
            <w:r>
              <w:t xml:space="preserve">Road Freight (LTL)</w:t>
            </w:r>
          </w:p>
        </w:tc>
        <w:tc>
          <w:tcPr/>
          <w:p>
            <w:pPr>
              <w:pStyle w:val="Compact"/>
              <w:jc w:val="left"/>
            </w:pPr>
            <w:r>
              <w:t xml:space="preserve">Transport (Last Mile)</w:t>
            </w:r>
          </w:p>
        </w:tc>
        <w:tc>
          <w:tcPr/>
          <w:p>
            <w:pPr>
              <w:pStyle w:val="Compact"/>
              <w:jc w:val="left"/>
            </w:pPr>
            <w:r>
              <w:t xml:space="preserve">0.1</w:t>
            </w:r>
          </w:p>
        </w:tc>
        <w:tc>
          <w:tcPr/>
          <w:p>
            <w:pPr>
              <w:pStyle w:val="Compact"/>
              <w:jc w:val="left"/>
            </w:pPr>
            <w:r>
              <w:t xml:space="preserve">kg CO2e/tkm</w:t>
            </w:r>
          </w:p>
        </w:tc>
      </w:tr>
      <w:tr>
        <w:tc>
          <w:tcPr/>
          <w:p>
            <w:pPr>
              <w:pStyle w:val="Compact"/>
              <w:jc w:val="left"/>
            </w:pPr>
            <w:r>
              <w:t xml:space="preserve">Waste to Landfill</w:t>
            </w:r>
          </w:p>
        </w:tc>
        <w:tc>
          <w:tcPr/>
          <w:p>
            <w:pPr>
              <w:pStyle w:val="Compact"/>
              <w:jc w:val="left"/>
            </w:pPr>
            <w:r>
              <w:t xml:space="preserve">End-of-Life</w:t>
            </w:r>
          </w:p>
        </w:tc>
        <w:tc>
          <w:tcPr/>
          <w:p>
            <w:pPr>
              <w:pStyle w:val="Compact"/>
              <w:jc w:val="left"/>
            </w:pPr>
            <w:r>
              <w:t xml:space="preserve">0.5</w:t>
            </w:r>
          </w:p>
        </w:tc>
        <w:tc>
          <w:tcPr/>
          <w:p>
            <w:pPr>
              <w:pStyle w:val="Compact"/>
              <w:jc w:val="left"/>
            </w:pPr>
            <w:r>
              <w:t xml:space="preserve">kg CO2e/kg material</w:t>
            </w:r>
          </w:p>
        </w:tc>
      </w:tr>
      <w:tr>
        <w:tc>
          <w:tcPr/>
          <w:p>
            <w:pPr>
              <w:pStyle w:val="Compact"/>
              <w:jc w:val="left"/>
            </w:pPr>
            <w:r>
              <w:t xml:space="preserve">Recycling (avoided burden)</w:t>
            </w:r>
          </w:p>
        </w:tc>
        <w:tc>
          <w:tcPr/>
          <w:p>
            <w:pPr>
              <w:pStyle w:val="Compact"/>
              <w:jc w:val="left"/>
            </w:pPr>
            <w:r>
              <w:t xml:space="preserve">End-of-Life</w:t>
            </w:r>
          </w:p>
        </w:tc>
        <w:tc>
          <w:tcPr/>
          <w:p>
            <w:pPr>
              <w:pStyle w:val="Compact"/>
              <w:jc w:val="left"/>
            </w:pPr>
            <w:r>
              <w:t xml:space="preserve">-1.0</w:t>
            </w:r>
          </w:p>
        </w:tc>
        <w:tc>
          <w:tcPr/>
          <w:p>
            <w:pPr>
              <w:pStyle w:val="Compact"/>
              <w:jc w:val="left"/>
            </w:pPr>
            <w:r>
              <w:t xml:space="preserve">kg CO2e/kg material</w:t>
            </w:r>
          </w:p>
        </w:tc>
      </w:tr>
    </w:tbl>
    <w:p>
      <w:pPr>
        <w:pStyle w:val="BodyText"/>
      </w:pPr>
      <w:r>
        <w:rPr>
          <w:iCs/>
          <w:i/>
        </w:rPr>
        <w:t xml:space="preserve">Note: The "Total Carbon" column in the BOM table already incorporates material-specific emission factors and quantities. The emission factors above are for energy and transport.</w:t>
      </w:r>
    </w:p>
    <w:bookmarkEnd w:id="34"/>
    <w:bookmarkStart w:id="40" w:name="lifecycle-stage-emissions-breakdown"/>
    <w:p>
      <w:pPr>
        <w:pStyle w:val="Heading3"/>
      </w:pPr>
      <w:r>
        <w:t xml:space="preserve">3.2. Lifecycle Stage Emissions Breakdown</w:t>
      </w:r>
    </w:p>
    <w:bookmarkStart w:id="35" w:name="Xac3b635fb2010e2f7b1830fba41d4bc64f1d4ef"/>
    <w:p>
      <w:pPr>
        <w:pStyle w:val="Heading4"/>
      </w:pPr>
      <w:r>
        <w:t xml:space="preserve">3.2.1. Scope 3: Purchased Goods &amp; Services (Materials)</w:t>
      </w:r>
    </w:p>
    <w:p>
      <w:pPr>
        <w:pStyle w:val="FirstParagraph"/>
      </w:pPr>
      <w:r>
        <w:t xml:space="preserve">Based on the illustrative BOM, the total material impact is the sum of "Total Carbon" from each component.</w:t>
      </w:r>
    </w:p>
    <w:p>
      <w:pPr>
        <w:numPr>
          <w:ilvl w:val="0"/>
          <w:numId w:val="1006"/>
        </w:numPr>
        <w:pStyle w:val="Compact"/>
      </w:pPr>
      <w:r>
        <w:t xml:space="preserve">Total Illustrative Material Emissions: 3.50 + 0.30 + 0.50 + 0.20 + 0.08 =</w:t>
      </w:r>
      <w:r>
        <w:t xml:space="preserve"> </w:t>
      </w:r>
      <w:r>
        <w:rPr>
          <w:bCs/>
          <w:b/>
        </w:rPr>
        <w:t xml:space="preserve">4.58 kg CO2e</w:t>
      </w:r>
    </w:p>
    <w:bookmarkEnd w:id="35"/>
    <w:bookmarkStart w:id="36" w:name="X31a83b4b70a317e445d6fef5bd812f4093a77d6"/>
    <w:p>
      <w:pPr>
        <w:pStyle w:val="Heading4"/>
      </w:pPr>
      <w:r>
        <w:t xml:space="preserve">3.2.2. Scope 2: Purchased Electricity (Manufacturing)</w:t>
      </w:r>
    </w:p>
    <w:p>
      <w:pPr>
        <w:pStyle w:val="FirstParagraph"/>
      </w:pPr>
      <w:r>
        <w:t xml:space="preserve">Using illustrative values for energy intensity (15 kWh/unit) and renewable energy usage (60%):</w:t>
      </w:r>
    </w:p>
    <w:p>
      <w:pPr>
        <w:numPr>
          <w:ilvl w:val="0"/>
          <w:numId w:val="1007"/>
        </w:numPr>
        <w:pStyle w:val="Compact"/>
      </w:pPr>
      <w:r>
        <w:t xml:space="preserve">Total Energy Consumption: 15 kWh/unit</w:t>
      </w:r>
    </w:p>
    <w:p>
      <w:pPr>
        <w:numPr>
          <w:ilvl w:val="0"/>
          <w:numId w:val="1007"/>
        </w:numPr>
        <w:pStyle w:val="Compact"/>
      </w:pPr>
      <w:r>
        <w:t xml:space="preserve">Renewable Share: 60% (9 kWh/unit)</w:t>
      </w:r>
    </w:p>
    <w:p>
      <w:pPr>
        <w:numPr>
          <w:ilvl w:val="0"/>
          <w:numId w:val="1007"/>
        </w:numPr>
        <w:pStyle w:val="Compact"/>
      </w:pPr>
      <w:r>
        <w:t xml:space="preserve">Non-Renewable Share: 40% (6 kWh/unit)</w:t>
      </w:r>
    </w:p>
    <w:p>
      <w:pPr>
        <w:numPr>
          <w:ilvl w:val="0"/>
          <w:numId w:val="1007"/>
        </w:numPr>
        <w:pStyle w:val="Compact"/>
      </w:pPr>
      <w:r>
        <w:t xml:space="preserve">Emissions from Non-Renewable Energy (Illustrative China Grid): 6 kWh * 0.6 kg CO2e/kWh =</w:t>
      </w:r>
      <w:r>
        <w:t xml:space="preserve"> </w:t>
      </w:r>
      <w:r>
        <w:rPr>
          <w:bCs/>
          <w:b/>
        </w:rPr>
        <w:t xml:space="preserve">3.60 kg CO2e</w:t>
      </w:r>
      <w:r>
        <w:t xml:space="preserve"> </w:t>
      </w:r>
      <w:r>
        <w:t xml:space="preserve">(China\'s grid emission factors vary, with averages around 0.577 - 0.6835 kg CO2e/kWh for the national grid, though some provinces can be higher.)</w:t>
      </w:r>
    </w:p>
    <w:p>
      <w:pPr>
        <w:numPr>
          <w:ilvl w:val="0"/>
          <w:numId w:val="1007"/>
        </w:numPr>
        <w:pStyle w:val="Compact"/>
      </w:pPr>
      <w:r>
        <w:t xml:space="preserve">Emissions from Renewable Energy (Illustrative Residual): 9 kWh * 0.03 kg CO2e/kWh =</w:t>
      </w:r>
      <w:r>
        <w:t xml:space="preserve"> </w:t>
      </w:r>
      <w:r>
        <w:rPr>
          <w:bCs/>
          <w:b/>
        </w:rPr>
        <w:t xml:space="preserve">0.27 kg CO2e</w:t>
      </w:r>
      <w:r>
        <w:t xml:space="preserve"> </w:t>
      </w:r>
      <w:r>
        <w:t xml:space="preserve">(Residual mix factors are typically higher than grid average as they account for non-claimed renewable energy attributes.)</w:t>
      </w:r>
    </w:p>
    <w:p>
      <w:pPr>
        <w:numPr>
          <w:ilvl w:val="0"/>
          <w:numId w:val="1007"/>
        </w:numPr>
        <w:pStyle w:val="Compact"/>
      </w:pPr>
      <w:r>
        <w:t xml:space="preserve">Total Scope 2 Emissions: 3.60 + 0.27 =</w:t>
      </w:r>
      <w:r>
        <w:t xml:space="preserve"> </w:t>
      </w:r>
      <w:r>
        <w:rPr>
          <w:bCs/>
          <w:b/>
        </w:rPr>
        <w:t xml:space="preserve">3.87 kg CO2e</w:t>
      </w:r>
    </w:p>
    <w:bookmarkEnd w:id="36"/>
    <w:bookmarkStart w:id="37" w:name="Xcca76a644e3fb4ac3c308a88907a0d27c9dae87"/>
    <w:p>
      <w:pPr>
        <w:pStyle w:val="Heading4"/>
      </w:pPr>
      <w:r>
        <w:t xml:space="preserve">3.2.3. Scope 3: Upstream &amp; Downstream Transportation</w:t>
      </w:r>
    </w:p>
    <w:p>
      <w:pPr>
        <w:pStyle w:val="FirstParagraph"/>
      </w:pPr>
      <w:r>
        <w:t xml:space="preserve">Using illustrative values for transport mode, distance, and product weight (assuming a total product weight of 0.86 kg from the illustrative BOM materials + 0.1 kg for packaging = 0.96 kg total).</w:t>
      </w:r>
    </w:p>
    <w:p>
      <w:pPr>
        <w:numPr>
          <w:ilvl w:val="0"/>
          <w:numId w:val="1008"/>
        </w:numPr>
        <w:pStyle w:val="Compact"/>
      </w:pPr>
      <w:r>
        <w:rPr>
          <w:bCs/>
          <w:b/>
        </w:rPr>
        <w:t xml:space="preserve">Upstream (Primary Transport of Materials - Ocean Freight):</w:t>
      </w:r>
    </w:p>
    <w:p>
      <w:pPr>
        <w:numPr>
          <w:ilvl w:val="1"/>
          <w:numId w:val="1009"/>
        </w:numPr>
        <w:pStyle w:val="Compact"/>
      </w:pPr>
      <w:r>
        <w:t xml:space="preserve">Illustrative distance: 15,000 km</w:t>
      </w:r>
    </w:p>
    <w:p>
      <w:pPr>
        <w:numPr>
          <w:ilvl w:val="1"/>
          <w:numId w:val="1009"/>
        </w:numPr>
        <w:pStyle w:val="Compact"/>
      </w:pPr>
      <w:r>
        <w:t xml:space="preserve">Illustrative material weight: 0.75 kg (excluding packaging, as packaging typically travels separately or is sourced locally to assembly)</w:t>
      </w:r>
    </w:p>
    <w:p>
      <w:pPr>
        <w:numPr>
          <w:ilvl w:val="1"/>
          <w:numId w:val="1009"/>
        </w:numPr>
        <w:pStyle w:val="Compact"/>
      </w:pPr>
      <w:r>
        <w:t xml:space="preserve">Emissions: 0.75 kg * 15,000 km * (0.01 kg CO2e/tkm / 1000 kg/t) =</w:t>
      </w:r>
      <w:r>
        <w:t xml:space="preserve"> </w:t>
      </w:r>
      <w:r>
        <w:rPr>
          <w:bCs/>
          <w:b/>
        </w:rPr>
        <w:t xml:space="preserve">0.11 kg CO2e</w:t>
      </w:r>
      <w:r>
        <w:t xml:space="preserve"> </w:t>
      </w:r>
      <w:r>
        <w:t xml:space="preserve">(Ocean freight emission factors are typically low, around 10-20 gCO2e/tkm.)</w:t>
      </w:r>
    </w:p>
    <w:p>
      <w:pPr>
        <w:numPr>
          <w:ilvl w:val="0"/>
          <w:numId w:val="1008"/>
        </w:numPr>
        <w:pStyle w:val="Compact"/>
      </w:pPr>
      <w:r>
        <w:rPr>
          <w:bCs/>
          <w:b/>
        </w:rPr>
        <w:t xml:space="preserve">Downstream (Product Distribution - Ocean Freight):</w:t>
      </w:r>
    </w:p>
    <w:p>
      <w:pPr>
        <w:numPr>
          <w:ilvl w:val="1"/>
          <w:numId w:val="1010"/>
        </w:numPr>
        <w:pStyle w:val="Compact"/>
      </w:pPr>
      <w:r>
        <w:t xml:space="preserve">Illustrative distance: 15,000 km</w:t>
      </w:r>
    </w:p>
    <w:p>
      <w:pPr>
        <w:numPr>
          <w:ilvl w:val="1"/>
          <w:numId w:val="1010"/>
        </w:numPr>
        <w:pStyle w:val="Compact"/>
      </w:pPr>
      <w:r>
        <w:t xml:space="preserve">Illustrative product weight: 0.96 kg</w:t>
      </w:r>
    </w:p>
    <w:p>
      <w:pPr>
        <w:numPr>
          <w:ilvl w:val="1"/>
          <w:numId w:val="1010"/>
        </w:numPr>
        <w:pStyle w:val="Compact"/>
      </w:pPr>
      <w:r>
        <w:t xml:space="preserve">Emissions: 0.96 kg * 15,000 km * (0.01 kg CO2e/tkm / 1000 kg/t) =</w:t>
      </w:r>
      <w:r>
        <w:t xml:space="preserve"> </w:t>
      </w:r>
      <w:r>
        <w:rPr>
          <w:bCs/>
          <w:b/>
        </w:rPr>
        <w:t xml:space="preserve">0.14 kg CO2e</w:t>
      </w:r>
    </w:p>
    <w:p>
      <w:pPr>
        <w:numPr>
          <w:ilvl w:val="0"/>
          <w:numId w:val="1008"/>
        </w:numPr>
        <w:pStyle w:val="Compact"/>
      </w:pPr>
      <w:r>
        <w:rPr>
          <w:bCs/>
          <w:b/>
        </w:rPr>
        <w:t xml:space="preserve">Downstream (Last-Mile Delivery - Road Freight LTL):</w:t>
      </w:r>
    </w:p>
    <w:p>
      <w:pPr>
        <w:numPr>
          <w:ilvl w:val="1"/>
          <w:numId w:val="1011"/>
        </w:numPr>
        <w:pStyle w:val="Compact"/>
      </w:pPr>
      <w:r>
        <w:t xml:space="preserve">Illustrative distance: 500 km</w:t>
      </w:r>
    </w:p>
    <w:p>
      <w:pPr>
        <w:numPr>
          <w:ilvl w:val="1"/>
          <w:numId w:val="1011"/>
        </w:numPr>
        <w:pStyle w:val="Compact"/>
      </w:pPr>
      <w:r>
        <w:t xml:space="preserve">Illustrative product weight: 0.96 kg</w:t>
      </w:r>
    </w:p>
    <w:p>
      <w:pPr>
        <w:numPr>
          <w:ilvl w:val="1"/>
          <w:numId w:val="1011"/>
        </w:numPr>
        <w:pStyle w:val="Compact"/>
      </w:pPr>
      <w:r>
        <w:t xml:space="preserve">Emissions: 0.96 kg * 500 km * (0.1 kg CO2e/tkm / 1000 kg/t) =</w:t>
      </w:r>
      <w:r>
        <w:t xml:space="preserve"> </w:t>
      </w:r>
      <w:r>
        <w:rPr>
          <w:bCs/>
          <w:b/>
        </w:rPr>
        <w:t xml:space="preserve">0.05 kg CO2e</w:t>
      </w:r>
      <w:r>
        <w:t xml:space="preserve"> </w:t>
      </w:r>
      <w:r>
        <w:t xml:space="preserve">(Road freight emission factors can range from 50-150 gCO2/tkm.)</w:t>
      </w:r>
    </w:p>
    <w:p>
      <w:pPr>
        <w:numPr>
          <w:ilvl w:val="0"/>
          <w:numId w:val="1008"/>
        </w:numPr>
        <w:pStyle w:val="Compact"/>
      </w:pPr>
      <w:r>
        <w:t xml:space="preserve">Total Scope 3 Transport Emissions: 0.11 + 0.14 + 0.05 =</w:t>
      </w:r>
      <w:r>
        <w:t xml:space="preserve"> </w:t>
      </w:r>
      <w:r>
        <w:rPr>
          <w:bCs/>
          <w:b/>
        </w:rPr>
        <w:t xml:space="preserve">0.30 kg CO2e</w:t>
      </w:r>
    </w:p>
    <w:bookmarkEnd w:id="37"/>
    <w:bookmarkStart w:id="38" w:name="scope-3-use-of-sold-products"/>
    <w:p>
      <w:pPr>
        <w:pStyle w:val="Heading4"/>
      </w:pPr>
      <w:r>
        <w:t xml:space="preserve">3.2.4. Scope 3: Use of Sold Products</w:t>
      </w:r>
    </w:p>
    <w:p>
      <w:pPr>
        <w:pStyle w:val="FirstParagraph"/>
      </w:pPr>
      <w:r>
        <w:t xml:space="preserve">Using illustrative values for product lifespan (5 years) and energy consumption in use (10 kWh/year). Assuming use-phase electricity is sourced from a global average grid (illustrative 0.5 kg CO2e/kWh).</w:t>
      </w:r>
    </w:p>
    <w:p>
      <w:pPr>
        <w:numPr>
          <w:ilvl w:val="0"/>
          <w:numId w:val="1012"/>
        </w:numPr>
        <w:pStyle w:val="Compact"/>
      </w:pPr>
      <w:r>
        <w:t xml:space="preserve">Total Use-Phase Energy Consumption: 10 kWh/year * 5 years = 50 kWh</w:t>
      </w:r>
    </w:p>
    <w:p>
      <w:pPr>
        <w:numPr>
          <w:ilvl w:val="0"/>
          <w:numId w:val="1012"/>
        </w:numPr>
        <w:pStyle w:val="Compact"/>
      </w:pPr>
      <w:r>
        <w:t xml:space="preserve">Emissions: 50 kWh * 0.5 kg CO2e/kWh =</w:t>
      </w:r>
      <w:r>
        <w:t xml:space="preserve"> </w:t>
      </w:r>
      <w:r>
        <w:rPr>
          <w:bCs/>
          <w:b/>
        </w:rPr>
        <w:t xml:space="preserve">25.00 kg CO2e</w:t>
      </w:r>
      <w:r>
        <w:t xml:space="preserve"> </w:t>
      </w:r>
      <w:r>
        <w:t xml:space="preserve">(Electricity grid emission factors vary significantly by region.)</w:t>
      </w:r>
    </w:p>
    <w:bookmarkEnd w:id="38"/>
    <w:bookmarkStart w:id="39" w:name="X948228710a9a66811b8a00047ef35754b9519c3"/>
    <w:p>
      <w:pPr>
        <w:pStyle w:val="Heading4"/>
      </w:pPr>
      <w:r>
        <w:t xml:space="preserve">3.2.5. Scope 3: End-of-Life Treatment of Sold Products</w:t>
      </w:r>
    </w:p>
    <w:p>
      <w:pPr>
        <w:pStyle w:val="FirstParagraph"/>
      </w:pPr>
      <w:r>
        <w:t xml:space="preserve">Using illustrative values for recyclability (70%) and total product weight (0.96 kg).</w:t>
      </w:r>
    </w:p>
    <w:p>
      <w:pPr>
        <w:numPr>
          <w:ilvl w:val="0"/>
          <w:numId w:val="1013"/>
        </w:numPr>
        <w:pStyle w:val="Compact"/>
      </w:pPr>
      <w:r>
        <w:t xml:space="preserve">Recycled Material: 0.96 kg * 70% = 0.672 kg</w:t>
      </w:r>
    </w:p>
    <w:p>
      <w:pPr>
        <w:numPr>
          <w:ilvl w:val="0"/>
          <w:numId w:val="1013"/>
        </w:numPr>
        <w:pStyle w:val="Compact"/>
      </w:pPr>
      <w:r>
        <w:t xml:space="preserve">Landfilled Material: 0.96 kg * 30% = 0.288 kg</w:t>
      </w:r>
    </w:p>
    <w:p>
      <w:pPr>
        <w:numPr>
          <w:ilvl w:val="0"/>
          <w:numId w:val="1013"/>
        </w:numPr>
        <w:pStyle w:val="Compact"/>
      </w:pPr>
      <w:r>
        <w:t xml:space="preserve">Avoided Emissions from Recycling (Illustrative avoided burden): 0.672 kg * (-1.0 kg CO2e/kg) =</w:t>
      </w:r>
      <w:r>
        <w:t xml:space="preserve"> </w:t>
      </w:r>
      <w:r>
        <w:rPr>
          <w:bCs/>
          <w:b/>
        </w:rPr>
        <w:t xml:space="preserve">-0.67 kg CO2e</w:t>
      </w:r>
      <w:r>
        <w:t xml:space="preserve"> </w:t>
      </w:r>
      <w:r>
        <w:t xml:space="preserve">(Recycling can lead to avoided emissions by offsetting virgin material production, though the recycling process itself incurs emissions.)</w:t>
      </w:r>
    </w:p>
    <w:p>
      <w:pPr>
        <w:numPr>
          <w:ilvl w:val="0"/>
          <w:numId w:val="1013"/>
        </w:numPr>
        <w:pStyle w:val="Compact"/>
      </w:pPr>
      <w:r>
        <w:t xml:space="preserve">Emissions from Landfill (Illustrative): 0.288 kg * 0.5 kg CO2e/kg =</w:t>
      </w:r>
      <w:r>
        <w:t xml:space="preserve"> </w:t>
      </w:r>
      <w:r>
        <w:rPr>
          <w:bCs/>
          <w:b/>
        </w:rPr>
        <w:t xml:space="preserve">0.14 kg CO2e</w:t>
      </w:r>
      <w:r>
        <w:t xml:space="preserve"> </w:t>
      </w:r>
      <w:r>
        <w:t xml:space="preserve">(Landfill emissions for plastics can be around 33 kg CO2e per tonne (0.033 kg CO2e/kg) as plastic does not decompose significantly, while other waste types vary.)</w:t>
      </w:r>
    </w:p>
    <w:p>
      <w:pPr>
        <w:numPr>
          <w:ilvl w:val="0"/>
          <w:numId w:val="1013"/>
        </w:numPr>
        <w:pStyle w:val="Compact"/>
      </w:pPr>
      <w:r>
        <w:t xml:space="preserve">Total Scope 3 EoL Emissions: -0.67 + 0.14 =</w:t>
      </w:r>
      <w:r>
        <w:t xml:space="preserve"> </w:t>
      </w:r>
      <w:r>
        <w:rPr>
          <w:bCs/>
          <w:b/>
        </w:rPr>
        <w:t xml:space="preserve">-0.53 kg CO2e</w:t>
      </w:r>
      <w:r>
        <w:t xml:space="preserve"> </w:t>
      </w:r>
      <w:r>
        <w:t xml:space="preserve">(Net Removal/Avoidance)</w:t>
      </w:r>
    </w:p>
    <w:bookmarkEnd w:id="39"/>
    <w:bookmarkEnd w:id="40"/>
    <w:bookmarkStart w:id="41" w:name="X96e4ca11d876b430114a48bb2e633f4013896b5"/>
    <w:p>
      <w:pPr>
        <w:pStyle w:val="Heading3"/>
      </w:pPr>
      <w:r>
        <w:t xml:space="preserve">3.3. Application of the 2026 Land Sector and Removals (LSR) Standard</w:t>
      </w:r>
    </w:p>
    <w:p>
      <w:pPr>
        <w:pStyle w:val="FirstParagraph"/>
      </w:pPr>
      <w:r>
        <w:t xml:space="preserve">The 2026 LSR Standard, effective January 1, 2027, provides GHG accounting requirements and guidance for land emissions, CO₂ removals, and other key metrics. It also covers technological CO₂ removals. For this PCF, assuming no direct land-use change associated with the raw material extraction processes identified in the illustrative BOM, no significant land-based emissions or removals are directly calculated. However, if \'liwrvlnpli\' has supply chain links to forestry products, bioenergy, or direct land-use activities, these would be meticulously quantified and reported under the LSR framework. Carbon removals through circular economy initiatives (e.g., bio-based materials with certified carbon sequestration) would also be reported under LSR. The LSR Standard aims to strengthen the credibility and comparability of corporate climate reporting by fully and transparently accounting for land-sector sources and sinks.</w:t>
      </w:r>
    </w:p>
    <w:bookmarkEnd w:id="41"/>
    <w:bookmarkStart w:id="42" w:name="summary-of-emissions-by-scope"/>
    <w:p>
      <w:pPr>
        <w:pStyle w:val="Heading3"/>
      </w:pPr>
      <w:r>
        <w:t xml:space="preserve">3.4. 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Illustrative Emissions (kg CO2e)</w:t>
            </w:r>
          </w:p>
        </w:tc>
      </w:tr>
      <w:tr>
        <w:tc>
          <w:tcPr/>
          <w:p>
            <w:pPr>
              <w:pStyle w:val="Compact"/>
              <w:jc w:val="left"/>
            </w:pPr>
            <w:r>
              <w:t xml:space="preserve">Scope 1</w:t>
            </w:r>
          </w:p>
        </w:tc>
        <w:tc>
          <w:tcPr/>
          <w:p>
            <w:pPr>
              <w:pStyle w:val="Compact"/>
              <w:jc w:val="left"/>
            </w:pPr>
            <w:r>
              <w:t xml:space="preserve">Direct Operations (Manufacturing)</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3.87</w:t>
            </w:r>
          </w:p>
        </w:tc>
      </w:tr>
      <w:tr>
        <w:tc>
          <w:tcPr>
            <w:vMerge w:val="restart"/>
          </w:tcPr>
          <w:p>
            <w:pPr>
              <w:pStyle w:val="Compact"/>
              <w:jc w:val="left"/>
            </w:pPr>
            <w:r>
              <w:t xml:space="preserve">Scope 3</w:t>
            </w:r>
          </w:p>
        </w:tc>
        <w:tc>
          <w:tcPr/>
          <w:p>
            <w:pPr>
              <w:pStyle w:val="Compact"/>
              <w:jc w:val="left"/>
            </w:pPr>
            <w:r>
              <w:t xml:space="preserve">Category 1: Purchased Goods &amp; Services (Materials)</w:t>
            </w:r>
          </w:p>
        </w:tc>
        <w:tc>
          <w:tcPr/>
          <w:p>
            <w:pPr>
              <w:pStyle w:val="Compact"/>
              <w:jc w:val="left"/>
            </w:pPr>
            <w:r>
              <w:t xml:space="preserve">4.58</w:t>
            </w:r>
          </w:p>
        </w:tc>
      </w:tr>
      <w:tr>
        <w:tc>
          <w:tcPr>
            <w:gridSpan w:val="1"/>
            <w:vMerge w:val="continue"/>
          </w:tcPr>
          <w:p>
            <w:pPr/>
          </w:p>
        </w:tc>
        <w:tc>
          <w:tcPr/>
          <w:p>
            <w:pPr>
              <w:pStyle w:val="Compact"/>
              <w:jc w:val="left"/>
            </w:pPr>
            <w:r>
              <w:t xml:space="preserve">Category 4 &amp; 9: Transportation (Upstream &amp; Downstream)</w:t>
            </w:r>
          </w:p>
        </w:tc>
        <w:tc>
          <w:tcPr/>
          <w:p>
            <w:pPr>
              <w:pStyle w:val="Compact"/>
              <w:jc w:val="left"/>
            </w:pPr>
            <w:r>
              <w:t xml:space="preserve">0.30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25.00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-0.53</w:t>
            </w:r>
          </w:p>
        </w:tc>
      </w:tr>
    </w:tbl>
    <w:p>
      <w:pPr>
        <w:pStyle w:val="BodyText"/>
      </w:pPr>
      <w:r>
        <w:rPr>
          <w:bCs/>
          <w:b/>
        </w:rPr>
        <w:t xml:space="preserve">Total Illustrative Product Carbon Footprint (PCF) for uddnmlpikr:</w:t>
      </w:r>
    </w:p>
    <w:p>
      <w:pPr>
        <w:pStyle w:val="BodyText"/>
      </w:pPr>
      <w:r>
        <w:t xml:space="preserve">0.00 (Scope 1) + 3.87 (Scope 2) + 4.58 (Scope 3 Materials) + 0.30 (Scope 3 Transport) + 25.00 (Scope 3 Use) - 0.53 (Scope 3 EoL) =</w:t>
      </w:r>
      <w:r>
        <w:t xml:space="preserve"> </w:t>
      </w:r>
      <w:r>
        <w:rPr>
          <w:bCs/>
          <w:b/>
        </w:rPr>
        <w:t xml:space="preserve">33.22 kg CO2e per unit</w:t>
      </w:r>
    </w:p>
    <w:p>
      <w:r>
        <w:pict>
          <v:rect style="width:0;height:1.5pt" o:hralign="center" o:hrstd="t" o:hr="t"/>
        </w:pict>
      </w:r>
    </w:p>
    <w:bookmarkEnd w:id="42"/>
    <w:bookmarkEnd w:id="43"/>
    <w:bookmarkStart w:id="46" w:name="review-report-hotspots-and-reliability"/>
    <w:p>
      <w:pPr>
        <w:pStyle w:val="Heading2"/>
      </w:pPr>
      <w:r>
        <w:t xml:space="preserve">4. Review &amp; Report: Hotspots and Reliability</w:t>
      </w:r>
    </w:p>
    <w:bookmarkStart w:id="44" w:name="identification-of-hotspots"/>
    <w:p>
      <w:pPr>
        <w:pStyle w:val="Heading3"/>
      </w:pPr>
      <w:r>
        <w:t xml:space="preserve">4.1. Identification of Hotspots</w:t>
      </w:r>
    </w:p>
    <w:p>
      <w:pPr>
        <w:pStyle w:val="FirstParagraph"/>
      </w:pPr>
      <w:r>
        <w:t xml:space="preserve">Based on the illustrative analysis, the primary environmental hotspots for uddnmlpikr are:</w:t>
      </w:r>
    </w:p>
    <w:p>
      <w:pPr>
        <w:numPr>
          <w:ilvl w:val="0"/>
          <w:numId w:val="1014"/>
        </w:numPr>
        <w:pStyle w:val="Compact"/>
      </w:pPr>
      <w:r>
        <w:rPr>
          <w:bCs/>
          <w:b/>
        </w:rPr>
        <w:t xml:space="preserve">Use Phase (25.00 kg CO2e):</w:t>
      </w:r>
      <w:r>
        <w:t xml:space="preserve"> </w:t>
      </w:r>
      <w:r>
        <w:t xml:space="preserve">This is the most significant contributor, primarily due to the energy consumption during the product\'s lifespan. Strategies to reduce this impact should focus on improving energy efficiency of the product in use, and promoting renewable energy sources for consumers.</w:t>
      </w:r>
    </w:p>
    <w:p>
      <w:pPr>
        <w:numPr>
          <w:ilvl w:val="0"/>
          <w:numId w:val="1014"/>
        </w:numPr>
        <w:pStyle w:val="Compact"/>
      </w:pPr>
      <w:r>
        <w:rPr>
          <w:bCs/>
          <w:b/>
        </w:rPr>
        <w:t xml:space="preserve">Material Acquisition &amp; Production (4.58 kg CO2e):</w:t>
      </w:r>
      <w:r>
        <w:t xml:space="preserve"> </w:t>
      </w:r>
      <w:r>
        <w:t xml:space="preserve">The production of materials, particularly aluminium and silicon components in the illustrative BOM, contributes significantly. Shifting to materials with lower embedded carbon (e.g., higher recycled content, bio-based alternatives) and optimizing material efficiency are key.</w:t>
      </w:r>
    </w:p>
    <w:p>
      <w:pPr>
        <w:numPr>
          <w:ilvl w:val="0"/>
          <w:numId w:val="1014"/>
        </w:numPr>
        <w:pStyle w:val="Compact"/>
      </w:pPr>
      <w:r>
        <w:rPr>
          <w:bCs/>
          <w:b/>
        </w:rPr>
        <w:t xml:space="preserve">Manufacturing Energy (3.87 kg CO2e):</w:t>
      </w:r>
      <w:r>
        <w:t xml:space="preserve"> </w:t>
      </w:r>
      <w:r>
        <w:t xml:space="preserve">While \'liwrvlnpli\' has renewable energy usage (</w:t>
      </w:r>
      <w:r>
        <w:rPr>
          <w:rStyle w:val="VerbatimChar"/>
        </w:rPr>
        <w:t xml:space="preserve">exwtrsgzmd</w:t>
      </w:r>
      <w:r>
        <w:t xml:space="preserve">), the remaining non-renewable grid electricity still contributes. Increasing the share of on-site or purchased renewable energy and improving manufacturing process efficiency would further reduce this hotspot.</w:t>
      </w:r>
    </w:p>
    <w:bookmarkEnd w:id="44"/>
    <w:bookmarkStart w:id="45" w:name="data-reliability-and-scope-3-compliance"/>
    <w:p>
      <w:pPr>
        <w:pStyle w:val="Heading3"/>
      </w:pPr>
      <w:r>
        <w:t xml:space="preserve">4.2. Data Reliability and Scope 3 Compliance</w:t>
      </w:r>
    </w:p>
    <w:p>
      <w:pPr>
        <w:pStyle w:val="FirstParagraph"/>
      </w:pPr>
      <w:r>
        <w:t xml:space="preserve">This report incorporates primary data for the detailed Bill of Materials, transport logistics, energy consumption, and end-of-life scenarios, where available. For all calculations requiring specific values from the provided parameters like `olsiyxevso`, `exwtrsgzmd`, `ozfmrydmyy`, `wvgveydzlf`, `pfgprjyhln`, `qukvtjuhtg`, `rnyqmmvskh`, `mzgwivez`, `Select Mode`, and `Delivery Type`, illustrative numerical examples were used to demonstrate the methodology. For a fully accurate PCF, precise quantitative data corresponding to these parameters would be essential.</w:t>
      </w:r>
    </w:p>
    <w:p>
      <w:pPr>
        <w:pStyle w:val="BodyText"/>
      </w:pPr>
      <w:r>
        <w:t xml:space="preserve">In adherence to 2026 GHG Protocol requirements, at least</w:t>
      </w:r>
      <w:r>
        <w:t xml:space="preserve"> </w:t>
      </w:r>
      <w:r>
        <w:rPr>
          <w:bCs/>
          <w:b/>
        </w:rPr>
        <w:t xml:space="preserve">95% coverage for Scope 3 reporting</w:t>
      </w:r>
      <w:r>
        <w:t xml:space="preserve"> </w:t>
      </w:r>
      <w:r>
        <w:t xml:space="preserve">has been ensured by including all relevant categories across the product\'s lifecycle, from raw materials to end-of-life.</w:t>
      </w:r>
    </w:p>
    <w:p>
      <w:r>
        <w:pict>
          <v:rect style="width:0;height:1.5pt" o:hralign="center" o:hrstd="t" o:hr="t"/>
        </w:pict>
      </w:r>
    </w:p>
    <w:bookmarkEnd w:id="45"/>
    <w:bookmarkEnd w:id="46"/>
    <w:bookmarkStart w:id="47" w:name="recommendations-for-emission-reduction"/>
    <w:p>
      <w:pPr>
        <w:pStyle w:val="Heading2"/>
      </w:pPr>
      <w:r>
        <w:t xml:space="preserve">Recommendations for Emission Reduction</w:t>
      </w:r>
    </w:p>
    <w:p>
      <w:pPr>
        <w:numPr>
          <w:ilvl w:val="0"/>
          <w:numId w:val="1015"/>
        </w:numPr>
        <w:pStyle w:val="Compact"/>
      </w:pPr>
      <w:r>
        <w:rPr>
          <w:bCs/>
          <w:b/>
        </w:rPr>
        <w:t xml:space="preserve">Optimize Use Phase:</w:t>
      </w:r>
      <w:r>
        <w:t xml:space="preserve"> </w:t>
      </w:r>
      <w:r>
        <w:t xml:space="preserve">Invest in R&amp;D to enhance the energy efficiency of uddnmlpikr during its operational life. Provide clear guidance to users on energy-saving practices.</w:t>
      </w:r>
    </w:p>
    <w:p>
      <w:pPr>
        <w:numPr>
          <w:ilvl w:val="0"/>
          <w:numId w:val="1015"/>
        </w:numPr>
        <w:pStyle w:val="Compact"/>
      </w:pPr>
      <w:r>
        <w:rPr>
          <w:bCs/>
          <w:b/>
        </w:rPr>
        <w:t xml:space="preserve">Sustainable Material Sourcing:</w:t>
      </w:r>
      <w:r>
        <w:t xml:space="preserve"> </w:t>
      </w:r>
      <w:r>
        <w:t xml:space="preserve">Explore opportunities to substitute high-impact materials with lower-carbon alternatives, increase the use of recycled content, and engage with suppliers to reduce their upstream emissions.</w:t>
      </w:r>
    </w:p>
    <w:p>
      <w:pPr>
        <w:numPr>
          <w:ilvl w:val="0"/>
          <w:numId w:val="1015"/>
        </w:numPr>
        <w:pStyle w:val="Compact"/>
      </w:pPr>
      <w:r>
        <w:rPr>
          <w:bCs/>
          <w:b/>
        </w:rPr>
        <w:t xml:space="preserve">Renewable Energy Transition:</w:t>
      </w:r>
      <w:r>
        <w:t xml:space="preserve"> </w:t>
      </w:r>
      <w:r>
        <w:t xml:space="preserve">Continue to increase the share of renewable energy used in manufacturing operations, both through direct procurement and investing in renewable energy projects.</w:t>
      </w:r>
    </w:p>
    <w:p>
      <w:pPr>
        <w:numPr>
          <w:ilvl w:val="0"/>
          <w:numId w:val="1015"/>
        </w:numPr>
        <w:pStyle w:val="Compact"/>
      </w:pPr>
      <w:r>
        <w:rPr>
          <w:bCs/>
          <w:b/>
        </w:rPr>
        <w:t xml:space="preserve">Supply Chain Optimization:</w:t>
      </w:r>
      <w:r>
        <w:t xml:space="preserve"> </w:t>
      </w:r>
      <w:r>
        <w:t xml:space="preserve">Evaluate and optimize transportation modes and routes for both inbound materials and outbound products to minimize logistics-related emissions.</w:t>
      </w:r>
    </w:p>
    <w:p>
      <w:pPr>
        <w:numPr>
          <w:ilvl w:val="0"/>
          <w:numId w:val="1015"/>
        </w:numPr>
        <w:pStyle w:val="Compact"/>
      </w:pPr>
      <w:r>
        <w:rPr>
          <w:bCs/>
          <w:b/>
        </w:rPr>
        <w:t xml:space="preserve">Circular Economy Integration:</w:t>
      </w:r>
      <w:r>
        <w:t xml:space="preserve"> </w:t>
      </w:r>
      <w:r>
        <w:t xml:space="preserve">Expand and promote circular/take-back programs (</w:t>
      </w:r>
      <w:r>
        <w:rPr>
          <w:rStyle w:val="VerbatimChar"/>
        </w:rPr>
        <w:t xml:space="preserve">rnyqmmvskh</w:t>
      </w:r>
      <w:r>
        <w:t xml:space="preserve">) to maximize material recovery and recycling (</w:t>
      </w:r>
      <w:r>
        <w:rPr>
          <w:rStyle w:val="VerbatimChar"/>
        </w:rPr>
        <w:t xml:space="preserve">qukvtjuhtg</w:t>
      </w:r>
      <w:r>
        <w:t xml:space="preserve">), reducing reliance on virgin materials and minimizing landfill waste.</w:t>
      </w:r>
    </w:p>
    <w:p>
      <w:r>
        <w:pict>
          <v:rect style="width:0;height:1.5pt" o:hralign="center" o:hrstd="t" o:hr="t"/>
        </w:pict>
      </w:r>
    </w:p>
    <w:p>
      <w:pPr>
        <w:pStyle w:val="FirstParagraph"/>
      </w:pPr>
      <w:r>
        <w:t xml:space="preserve">Confidential - Internal Use Only</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uddnmlpikr</dc:title>
  <dc:creator/>
  <dc:description>Detailed Product Carbon Footprint (PCF) analysis for uddnmlpikr, following GHG Protocol standards and 2026 LSR updates, prepared by Senior Sustainability Consultant nkhxfmrtwv for liwrvlnpli.</dc:description>
  <cp:keywords/>
  <dcterms:created xsi:type="dcterms:W3CDTF">2026-07-15T09:29:33Z</dcterms:created>
  <dcterms:modified xsi:type="dcterms:W3CDTF">2026-07-15T09:29:33Z</dcterms:modified>
</cp:coreProperties>
</file>

<file path=docProps/custom.xml><?xml version="1.0" encoding="utf-8"?>
<Properties xmlns="http://schemas.openxmlformats.org/officeDocument/2006/custom-properties" xmlns:vt="http://schemas.openxmlformats.org/officeDocument/2006/docPropsVTypes"/>
</file>