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tzkrxizrkp</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tzkrxizrkp</w:t>
      </w:r>
    </w:p>
    <w:p>
      <w:pPr>
        <w:pStyle w:val="BodyText"/>
      </w:pPr>
      <w:r>
        <w:rPr>
          <w:bCs/>
          <w:b/>
        </w:rPr>
        <w:t xml:space="preserve">Company:</w:t>
      </w:r>
      <w:r>
        <w:t xml:space="preserve"> </w:t>
      </w:r>
      <w:r>
        <w:t xml:space="preserve">dyrmgvgkjx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ynwhwsnmrg</w:t>
      </w:r>
    </w:p>
    <w:p>
      <w:pPr>
        <w:pStyle w:val="BodyText"/>
      </w:pPr>
      <w:r>
        <w:t xml:space="preserve">Disclaimer: This report is generated based on available data and industry standards. While efforts have been made to ensure accuracy, the actual environmental impact may vary. Specific data points, where not explicitly provided in a parseable format, have been addressed with illustrative examples and standard assumptions, as detailed within the report.</w:t>
      </w:r>
    </w:p>
    <w:bookmarkEnd w:id="20"/>
    <w:bookmarkStart w:id="21" w:name="Xdc3160410d681a5b4e91c521b1bf9e286006909"/>
    <w:p>
      <w:pPr>
        <w:pStyle w:val="Heading1"/>
      </w:pPr>
      <w:r>
        <w:t xml:space="preserve">Product Carbon Footprint (PCF) Analysis Report for tzkrxizrkp</w:t>
      </w:r>
    </w:p>
    <w:p>
      <w:pPr>
        <w:pStyle w:val="FirstParagraph"/>
      </w:pPr>
      <w:r>
        <w:t xml:space="preserve">Generated Date: June 3, 2026</w:t>
      </w:r>
    </w:p>
    <w:p>
      <w:pPr>
        <w:pStyle w:val="BodyText"/>
      </w:pPr>
      <w:r>
        <w:t xml:space="preserve">Prepared by: ynwhwsnmrg, Senior Sustainability Consultant</w:t>
      </w:r>
    </w:p>
    <w:p>
      <w:pPr>
        <w:pStyle w:val="BodyText"/>
      </w:pPr>
      <w:r>
        <w:t xml:space="preserve">For: dyrmgvgkjx</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tzkrxizrkp, manufactured by dyrmgvgkjx. The analysis adheres strictly to the GHG Protocol accounting standards, incorporating the 2026 Land Sector and Removals (LSR) update and ensuring robust Scope 3 compliance. The objective is to quantify the greenhouse gas emissions associated with tzkrxizrkp across its lifecycle, from raw material extraction to end-of-life, providing insights into emission hotspots and opportunities for reduction. This assessment considers a functional unit of 1.0 unit of tzkrxizrkp, with a system boundary set at the factory gate for primary production, and extends to cover downstream impacts. While specific detailed Bill of Materials (BOM) data (ytotrlhh) was provided as a parameter name, its actual structured content was not available for direct parsing; therefore, illustrative BOM data consistent with the specified format has been utilized to demonstrate the methodology and calculations, along with industry-standard emission factors where applicable.</w:t>
      </w:r>
    </w:p>
    <w:p>
      <w:r>
        <w:pict>
          <v:rect style="width:0;height:1.5pt" o:hralign="center" o:hrstd="t" o:hr="t"/>
        </w:pict>
      </w:r>
    </w:p>
    <w:bookmarkEnd w:id="22"/>
    <w:bookmarkStart w:id="31" w:name="methodology-and-scope-definition"/>
    <w:p>
      <w:pPr>
        <w:pStyle w:val="Heading2"/>
      </w:pPr>
      <w:r>
        <w:t xml:space="preserve">2. Methodology and Scope Definition</w:t>
      </w:r>
    </w:p>
    <w:p>
      <w:pPr>
        <w:pStyle w:val="FirstParagraph"/>
      </w:pPr>
      <w:r>
        <w:t xml:space="preserve">The PCF analysis for tzkrxizrkp follows a systematic five-step approach, compliant with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tzkrxizrkp. This serves as the reference flow for quantifying inputs and outputs.</w:t>
      </w:r>
    </w:p>
    <w:p>
      <w:pPr>
        <w:numPr>
          <w:ilvl w:val="0"/>
          <w:numId w:val="1001"/>
        </w:numPr>
        <w:pStyle w:val="Compact"/>
      </w:pPr>
      <w:r>
        <w:rPr>
          <w:bCs/>
          <w:b/>
        </w:rPr>
        <w:t xml:space="preserve">System Boundary:</w:t>
      </w:r>
      <w:r>
        <w:t xml:space="preserve"> </w:t>
      </w:r>
      <w:r>
        <w:t xml:space="preserve">factory_gate for manufacturing, extending to cover cradle-to-grave aspects including raw material acquisition, transport, use phase, and end-of-life.</w:t>
      </w:r>
    </w:p>
    <w:p>
      <w:pPr>
        <w:numPr>
          <w:ilvl w:val="0"/>
          <w:numId w:val="1001"/>
        </w:numPr>
        <w:pStyle w:val="Compact"/>
      </w:pPr>
      <w:r>
        <w:rPr>
          <w:bCs/>
          <w:b/>
        </w:rPr>
        <w:t xml:space="preserve">Geographic Scope:</w:t>
      </w:r>
      <w:r>
        <w:t xml:space="preserve"> </w:t>
      </w:r>
      <w:r>
        <w:t xml:space="preserve">Final Production Country: China, with a Supply Chain Focus: Europe Focused. This implies a significant portion of raw materials and distribution may involve European geographies, while manufacturing occurs in China.</w:t>
      </w:r>
    </w:p>
    <w:p>
      <w:pPr>
        <w:numPr>
          <w:ilvl w:val="0"/>
          <w:numId w:val="1001"/>
        </w:numPr>
        <w:pStyle w:val="Compact"/>
      </w:pPr>
      <w:r>
        <w:rPr>
          <w:bCs/>
          <w:b/>
        </w:rPr>
        <w:t xml:space="preserve">Allocation:</w:t>
      </w:r>
      <w:r>
        <w:t xml:space="preserve"> </w:t>
      </w:r>
      <w:r>
        <w:t xml:space="preserve">Where co-products or by-products occur, allocation is performed based on physical relationships (e.g., mass) or economic value, as per GHG Protocol guidance. For this product, no explicit co-products are identified, simplifying allocation.</w:t>
      </w:r>
    </w:p>
    <w:p>
      <w:pPr>
        <w:numPr>
          <w:ilvl w:val="0"/>
          <w:numId w:val="1001"/>
        </w:numPr>
        <w:pStyle w:val="Compact"/>
      </w:pPr>
      <w:r>
        <w:rPr>
          <w:bCs/>
          <w:b/>
        </w:rPr>
        <w:t xml:space="preserve">Accounting Standard:</w:t>
      </w:r>
      <w:r>
        <w:t xml:space="preserve"> </w:t>
      </w:r>
      <w:r>
        <w:t xml:space="preserve">GHG Protocol Product Life Cycle Accounting and Reporting Standard.</w:t>
      </w:r>
    </w:p>
    <w:bookmarkEnd w:id="23"/>
    <w:bookmarkStart w:id="29" w:name="X3e46329a61170a5902be59bf4e1a8cabf6c7cb6"/>
    <w:p>
      <w:pPr>
        <w:pStyle w:val="Heading3"/>
      </w:pPr>
      <w:r>
        <w:t xml:space="preserve">2.2. Map Lifecycle (LCI Inventory Stages) &amp; Collect Data</w:t>
      </w:r>
    </w:p>
    <w:p>
      <w:pPr>
        <w:pStyle w:val="FirstParagraph"/>
      </w:pPr>
      <w:r>
        <w:t xml:space="preserve">The lifecycle of tzkrxizrkp is mapped across several stages, for which data is collected or estimated using industry-standard emission factors.</w:t>
      </w:r>
    </w:p>
    <w:bookmarkStart w:id="24" w:name="X42cf983dc69e1108fcbf8eafca83a5bae417d5d"/>
    <w:p>
      <w:pPr>
        <w:pStyle w:val="Heading4"/>
      </w:pPr>
      <w:r>
        <w:t xml:space="preserve">2.2.1. Detailed Bill of Materials (BOM) - Illustrative Data for \'ytotrlhh\'</w:t>
      </w:r>
    </w:p>
    <w:p>
      <w:pPr>
        <w:pStyle w:val="FirstParagraph"/>
      </w:pPr>
      <w:r>
        <w:t xml:space="preserve">As the specific structured content for \'ytotrlhh\' was not provided, the following illustrative data, adhering to the specified format (ID, Description, Category, Process, Qty, Unit, Emission Factor, Total Carbon), is used to demonstrate the material impact calculation. The \'Emission Factor\' is in kg CO2e/unit of quantity, and \'Total Carbon\' is the calculated carbon for that item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0.18</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t xml:space="preserve">Total raw material carbon footprint (illustrative):</w:t>
      </w:r>
      <w:r>
        <w:t xml:space="preserve"> </w:t>
      </w:r>
      <w:r>
        <w:rPr>
          <w:bCs/>
          <w:b/>
        </w:rPr>
        <w:t xml:space="preserve">6.42 kg CO2e</w:t>
      </w:r>
    </w:p>
    <w:bookmarkEnd w:id="24"/>
    <w:bookmarkStart w:id="25" w:name="energy-inputs-manufacturing-phase"/>
    <w:p>
      <w:pPr>
        <w:pStyle w:val="Heading4"/>
      </w:pPr>
      <w:r>
        <w:t xml:space="preserve">2.2.2. Energy Inputs (Manufacturing Phase)</w:t>
      </w:r>
    </w:p>
    <w:p>
      <w:pPr>
        <w:numPr>
          <w:ilvl w:val="0"/>
          <w:numId w:val="1002"/>
        </w:numPr>
        <w:pStyle w:val="Compact"/>
      </w:pPr>
      <w:r>
        <w:rPr>
          <w:bCs/>
          <w:b/>
        </w:rPr>
        <w:t xml:space="preserve">Energy Intensity (kWh/unit):</w:t>
      </w:r>
      <w:r>
        <w:t xml:space="preserve"> </w:t>
      </w:r>
      <w:r>
        <w:t xml:space="preserve">yrsfftqimj (2.5 kWh/unit, illustrative).</w:t>
      </w:r>
    </w:p>
    <w:p>
      <w:pPr>
        <w:numPr>
          <w:ilvl w:val="0"/>
          <w:numId w:val="1002"/>
        </w:numPr>
        <w:pStyle w:val="Compact"/>
      </w:pPr>
      <w:r>
        <w:rPr>
          <w:bCs/>
          <w:b/>
        </w:rPr>
        <w:t xml:space="preserve">Renewable Energy Usage:</w:t>
      </w:r>
      <w:r>
        <w:t xml:space="preserve"> </w:t>
      </w:r>
      <w:r>
        <w:t xml:space="preserve">yuwtmtewvv (70% illustrative). This renewable energy is assumed to directly offset the grid electricity consumption at the manufacturing facility.</w:t>
      </w:r>
    </w:p>
    <w:p>
      <w:pPr>
        <w:numPr>
          <w:ilvl w:val="0"/>
          <w:numId w:val="1002"/>
        </w:numPr>
        <w:pStyle w:val="Compact"/>
      </w:pPr>
      <w:r>
        <w:rPr>
          <w:bCs/>
          <w:b/>
        </w:rPr>
        <w:t xml:space="preserve">Chinese Grid Electricity Emission Factor:</w:t>
      </w:r>
      <w:r>
        <w:t xml:space="preserve"> </w:t>
      </w:r>
      <w:r>
        <w:t xml:space="preserve">0.60 kg CO2e/kWh (Illustrative, based on a range of 2021-2023 average Chinese grid mix data from 0.5568 kg CO2/kWh to 0.6205 kg CO2e/kWh).</w:t>
      </w:r>
    </w:p>
    <w:p>
      <w:pPr>
        <w:numPr>
          <w:ilvl w:val="0"/>
          <w:numId w:val="1002"/>
        </w:numPr>
        <w:pStyle w:val="Compact"/>
      </w:pPr>
      <w:r>
        <w:t xml:space="preserve">**Effective grid electricity consumption:** 2.5 kWh/unit * (1 - 0.70) = 0.75 kWh/unit.</w:t>
      </w:r>
    </w:p>
    <w:bookmarkEnd w:id="25"/>
    <w:bookmarkStart w:id="26" w:name="logistics-data-supply-chain"/>
    <w:p>
      <w:pPr>
        <w:pStyle w:val="Heading4"/>
      </w:pPr>
      <w:r>
        <w:t xml:space="preserve">2.2.3. Logistics Data (Supply Chain)</w:t>
      </w:r>
    </w:p>
    <w:p>
      <w:pPr>
        <w:numPr>
          <w:ilvl w:val="0"/>
          <w:numId w:val="1003"/>
        </w:numPr>
        <w:pStyle w:val="Compact"/>
      </w:pPr>
      <w:r>
        <w:rPr>
          <w:bCs/>
          <w:b/>
        </w:rPr>
        <w:t xml:space="preserve">Transport Mode (Primary Freight):</w:t>
      </w:r>
      <w:r>
        <w:t xml:space="preserve"> </w:t>
      </w:r>
      <w:r>
        <w:t xml:space="preserve">Select Mode (Illustrative: Road Freight, HGV 18-26t, Euro VI).</w:t>
      </w:r>
    </w:p>
    <w:p>
      <w:pPr>
        <w:numPr>
          <w:ilvl w:val="0"/>
          <w:numId w:val="1003"/>
        </w:numPr>
        <w:pStyle w:val="Compact"/>
      </w:pPr>
      <w:r>
        <w:rPr>
          <w:bCs/>
          <w:b/>
        </w:rPr>
        <w:t xml:space="preserve">Transport Distance (Primary Freight):</w:t>
      </w:r>
      <w:r>
        <w:t xml:space="preserve"> </w:t>
      </w:r>
      <w:r>
        <w:t xml:space="preserve">sqgjnripvh (1500 km, illustrative).</w:t>
      </w:r>
    </w:p>
    <w:p>
      <w:pPr>
        <w:numPr>
          <w:ilvl w:val="0"/>
          <w:numId w:val="1003"/>
        </w:numPr>
        <w:pStyle w:val="Compact"/>
      </w:pPr>
      <w:r>
        <w:rPr>
          <w:bCs/>
          <w:b/>
        </w:rPr>
        <w:t xml:space="preserve">Last-Mile Delivery Channel:</w:t>
      </w:r>
      <w:r>
        <w:t xml:space="preserve"> </w:t>
      </w:r>
      <w:r>
        <w:t xml:space="preserve">Delivery Type (Illustrative: Parcel Delivery, small van).</w:t>
      </w:r>
    </w:p>
    <w:p>
      <w:pPr>
        <w:numPr>
          <w:ilvl w:val="0"/>
          <w:numId w:val="1003"/>
        </w:numPr>
        <w:pStyle w:val="Compact"/>
      </w:pPr>
      <w:r>
        <w:rPr>
          <w:bCs/>
          <w:b/>
        </w:rPr>
        <w:t xml:space="preserve">Assumed Product Weight for Transport:</w:t>
      </w:r>
      <w:r>
        <w:t xml:space="preserve"> </w:t>
      </w:r>
      <w:r>
        <w:t xml:space="preserve">1.5 kg (illustrative, combining product and packaging).</w:t>
      </w:r>
    </w:p>
    <w:p>
      <w:pPr>
        <w:numPr>
          <w:ilvl w:val="0"/>
          <w:numId w:val="1003"/>
        </w:numPr>
        <w:pStyle w:val="Compact"/>
      </w:pPr>
      <w:r>
        <w:rPr>
          <w:bCs/>
          <w:b/>
        </w:rPr>
        <w:t xml:space="preserve">Emission Factor for Road Freight (HGV 18-26t):</w:t>
      </w:r>
      <w:r>
        <w:t xml:space="preserve"> </w:t>
      </w:r>
      <w:r>
        <w:t xml:space="preserve">0.08 kg CO2e/tkm (illustrative, Ecoinvent/DEFRA aligned).</w:t>
      </w:r>
    </w:p>
    <w:p>
      <w:pPr>
        <w:numPr>
          <w:ilvl w:val="0"/>
          <w:numId w:val="1003"/>
        </w:numPr>
        <w:pStyle w:val="Compact"/>
      </w:pPr>
      <w:r>
        <w:rPr>
          <w:bCs/>
          <w:b/>
        </w:rPr>
        <w:t xml:space="preserve">Emission Factor for Parcel Delivery:</w:t>
      </w:r>
      <w:r>
        <w:t xml:space="preserve"> </w:t>
      </w:r>
      <w:r>
        <w:t xml:space="preserve">0.0005 kg CO2e/kg·km (illustrative, general assumption for small parcel delivery).</w:t>
      </w:r>
    </w:p>
    <w:bookmarkEnd w:id="26"/>
    <w:bookmarkStart w:id="27" w:name="use-phase-data"/>
    <w:p>
      <w:pPr>
        <w:pStyle w:val="Heading4"/>
      </w:pPr>
      <w:r>
        <w:t xml:space="preserve">2.2.4. Use Phase Data</w:t>
      </w:r>
    </w:p>
    <w:p>
      <w:pPr>
        <w:numPr>
          <w:ilvl w:val="0"/>
          <w:numId w:val="1004"/>
        </w:numPr>
        <w:pStyle w:val="Compact"/>
      </w:pPr>
      <w:r>
        <w:rPr>
          <w:bCs/>
          <w:b/>
        </w:rPr>
        <w:t xml:space="preserve">Product Lifespan:</w:t>
      </w:r>
      <w:r>
        <w:t xml:space="preserve"> </w:t>
      </w:r>
      <w:r>
        <w:t xml:space="preserve">kffyneejnz (5 years, illustrative).</w:t>
      </w:r>
    </w:p>
    <w:p>
      <w:pPr>
        <w:numPr>
          <w:ilvl w:val="0"/>
          <w:numId w:val="1004"/>
        </w:numPr>
        <w:pStyle w:val="Compact"/>
      </w:pPr>
      <w:r>
        <w:rPr>
          <w:bCs/>
          <w:b/>
        </w:rPr>
        <w:t xml:space="preserve">Energy Consumption in Use:</w:t>
      </w:r>
      <w:r>
        <w:t xml:space="preserve"> </w:t>
      </w:r>
      <w:r>
        <w:t xml:space="preserve">ghurntyvyn (10 kWh/year, illustrative).</w:t>
      </w:r>
    </w:p>
    <w:p>
      <w:pPr>
        <w:numPr>
          <w:ilvl w:val="0"/>
          <w:numId w:val="1004"/>
        </w:numPr>
        <w:pStyle w:val="Compact"/>
      </w:pPr>
      <w:r>
        <w:rPr>
          <w:bCs/>
          <w:b/>
        </w:rPr>
        <w:t xml:space="preserve">European Electricity Grid Mix Emission Factor (for Use Phase):</w:t>
      </w:r>
      <w:r>
        <w:t xml:space="preserve"> </w:t>
      </w:r>
      <w:r>
        <w:t xml:space="preserve">0.25 kg CO2e/kWh (Illustrative, based on a range of EU-27 average grid mix data from 0.187 kgCO2e/kWh to 0.238 kgCO2e/kWh for 2019-2024).</w:t>
      </w:r>
    </w:p>
    <w:bookmarkEnd w:id="27"/>
    <w:bookmarkStart w:id="28" w:name="end-of-life-eol-scenarios"/>
    <w:p>
      <w:pPr>
        <w:pStyle w:val="Heading4"/>
      </w:pPr>
      <w:r>
        <w:t xml:space="preserve">2.2.5. End-of-Life (EoL) Scenarios</w:t>
      </w:r>
    </w:p>
    <w:p>
      <w:pPr>
        <w:numPr>
          <w:ilvl w:val="0"/>
          <w:numId w:val="1005"/>
        </w:numPr>
        <w:pStyle w:val="Compact"/>
      </w:pPr>
      <w:r>
        <w:rPr>
          <w:bCs/>
          <w:b/>
        </w:rPr>
        <w:t xml:space="preserve">Recyclability Percentage:</w:t>
      </w:r>
      <w:r>
        <w:t xml:space="preserve"> </w:t>
      </w:r>
      <w:r>
        <w:t xml:space="preserve">wmlruvrerz (80% illustrative).</w:t>
      </w:r>
    </w:p>
    <w:p>
      <w:pPr>
        <w:numPr>
          <w:ilvl w:val="0"/>
          <w:numId w:val="1005"/>
        </w:numPr>
        <w:pStyle w:val="Compact"/>
      </w:pPr>
      <w:r>
        <w:rPr>
          <w:bCs/>
          <w:b/>
        </w:rPr>
        <w:t xml:space="preserve">Circular/Take-back Programs:</w:t>
      </w:r>
      <w:r>
        <w:t xml:space="preserve"> </w:t>
      </w:r>
      <w:r>
        <w:t xml:space="preserve">nnjyxishwi (Yes, established take-back scheme, illustrative).</w:t>
      </w:r>
    </w:p>
    <w:p>
      <w:pPr>
        <w:numPr>
          <w:ilvl w:val="0"/>
          <w:numId w:val="1005"/>
        </w:numPr>
        <w:pStyle w:val="Compact"/>
      </w:pPr>
      <w:r>
        <w:rPr>
          <w:bCs/>
          <w:b/>
        </w:rPr>
        <w:t xml:space="preserve">Recycling Emission Factor (Benefit for plastics):</w:t>
      </w:r>
      <w:r>
        <w:t xml:space="preserve"> </w:t>
      </w:r>
      <w:r>
        <w:t xml:space="preserve">-1.0 kg CO2e/kg (illustrative, avoided emissions, based on reported savings).</w:t>
      </w:r>
    </w:p>
    <w:p>
      <w:pPr>
        <w:numPr>
          <w:ilvl w:val="0"/>
          <w:numId w:val="1005"/>
        </w:numPr>
        <w:pStyle w:val="Compact"/>
      </w:pPr>
      <w:r>
        <w:rPr>
          <w:bCs/>
          <w:b/>
        </w:rPr>
        <w:t xml:space="preserve">Recycling Emission Factor (Benefit for metals):</w:t>
      </w:r>
      <w:r>
        <w:t xml:space="preserve"> </w:t>
      </w:r>
      <w:r>
        <w:t xml:space="preserve">-8.0 kg CO2e/kg (illustrative, avoided emissions, combining savings for aluminum and copper).</w:t>
      </w:r>
    </w:p>
    <w:p>
      <w:pPr>
        <w:numPr>
          <w:ilvl w:val="0"/>
          <w:numId w:val="1005"/>
        </w:numPr>
        <w:pStyle w:val="Compact"/>
      </w:pPr>
      <w:r>
        <w:rPr>
          <w:bCs/>
          <w:b/>
        </w:rPr>
        <w:t xml:space="preserve">Recycling Emission Factor (Benefit for cardboard):</w:t>
      </w:r>
      <w:r>
        <w:t xml:space="preserve"> </w:t>
      </w:r>
      <w:r>
        <w:t xml:space="preserve">-0.4 kg CO2e/kg (illustrative, avoided emissions, based on reported savings).</w:t>
      </w:r>
    </w:p>
    <w:p>
      <w:pPr>
        <w:numPr>
          <w:ilvl w:val="0"/>
          <w:numId w:val="1005"/>
        </w:numPr>
        <w:pStyle w:val="Compact"/>
      </w:pPr>
      <w:r>
        <w:rPr>
          <w:bCs/>
          <w:b/>
        </w:rPr>
        <w:t xml:space="preserve">Disposal (Landfill) Emission Factor:</w:t>
      </w:r>
      <w:r>
        <w:t xml:space="preserve"> </w:t>
      </w:r>
      <w:r>
        <w:t xml:space="preserve">0.5 kg CO2e/kg (for non-recycled materials, illustrative, based on mixed waste landfill factors).</w:t>
      </w:r>
    </w:p>
    <w:bookmarkEnd w:id="28"/>
    <w:bookmarkEnd w:id="29"/>
    <w:bookmarkStart w:id="30" w:name="ghg-protocol-reporting-2026-lsr-update"/>
    <w:p>
      <w:pPr>
        <w:pStyle w:val="Heading3"/>
      </w:pPr>
      <w:r>
        <w:t xml:space="preserve">2.3. GHG Protocol Reporting &amp; 2026 LSR Update</w:t>
      </w:r>
    </w:p>
    <w:p>
      <w:pPr>
        <w:pStyle w:val="FirstParagraph"/>
      </w:pPr>
      <w:r>
        <w:t xml:space="preserve">Emissions are categorized into Scope 1, Scope 2, and Scope 3 as per GHG Protocol standards:</w:t>
      </w:r>
    </w:p>
    <w:p>
      <w:pPr>
        <w:numPr>
          <w:ilvl w:val="0"/>
          <w:numId w:val="1006"/>
        </w:numPr>
        <w:pStyle w:val="Compact"/>
      </w:pPr>
      <w:r>
        <w:rPr>
          <w:bCs/>
          <w:b/>
        </w:rPr>
        <w:t xml:space="preserve">Scope 1:</w:t>
      </w:r>
      <w:r>
        <w:t xml:space="preserve"> </w:t>
      </w:r>
      <w:r>
        <w:t xml:space="preserve">Direct emissions from owned or controlled sources (e.g., fuel combustion in company vehicles, on-site manufacturing processes). For this analysis, assuming dyrmgvgkjx does not have significant direct emissions from manufacturing processes beyond energy, these are considered minimal for a \'factory_gate\' boundary focus on the product itself.</w:t>
      </w:r>
    </w:p>
    <w:p>
      <w:pPr>
        <w:numPr>
          <w:ilvl w:val="0"/>
          <w:numId w:val="1006"/>
        </w:numPr>
        <w:pStyle w:val="Compact"/>
      </w:pPr>
      <w:r>
        <w:rPr>
          <w:bCs/>
          <w:b/>
        </w:rPr>
        <w:t xml:space="preserve">Scope 2:</w:t>
      </w:r>
      <w:r>
        <w:t xml:space="preserve"> </w:t>
      </w:r>
      <w:r>
        <w:t xml:space="preserve">Indirect emissions from the generation of purchased energy (e.g., electricity, heat, steam). This includes the non-renewable portion of the energy consumed in the manufacturing of tzkrxizrkp.</w:t>
      </w:r>
    </w:p>
    <w:p>
      <w:pPr>
        <w:numPr>
          <w:ilvl w:val="0"/>
          <w:numId w:val="1006"/>
        </w:numPr>
        <w:pStyle w:val="Compact"/>
      </w:pPr>
      <w:r>
        <w:rPr>
          <w:bCs/>
          <w:b/>
        </w:rPr>
        <w:t xml:space="preserve">Scope 3:</w:t>
      </w:r>
      <w:r>
        <w:t xml:space="preserve"> </w:t>
      </w:r>
      <w:r>
        <w:t xml:space="preserve">All other indirect emissions that occur in the value chain of the reporting company, both upstream and downstream. This constitutes the majority of the product\'s footprint and includes raw material extraction, component manufacturing, all transport (inbound, outbound, last-mile), product use phase, and end-of-life treatment. This analysis aims for at least 95% coverage for Scope 3 reporting, as per 2026 requirements, by including all material stages, logistics, use, and EoL.</w:t>
      </w:r>
    </w:p>
    <w:p>
      <w:pPr>
        <w:pStyle w:val="FirstParagraph"/>
      </w:pPr>
      <w:r>
        <w:rPr>
          <w:bCs/>
          <w:b/>
        </w:rPr>
        <w:t xml:space="preserve">2026 Land Sector and Removals (LSR) Standard Update:</w:t>
      </w:r>
      <w:r>
        <w:t xml:space="preserve"> </w:t>
      </w:r>
      <w:r>
        <w:t xml:space="preserve">For a manufactured product like tzkrxizrkp, direct LSR impacts are typically minimal unless bio-based materials (e.g., wood, cotton) with specific land-use changes are involved, or carbon removal technologies are integrated. In this illustrative assessment with generic materials, no direct LSR removals or emissions are quantified. However, the update emphasizes rigorous accounting for land-based GHG fluxes, which would be crucial if, for instance, the product packaging or components utilized materials from managed forests or agricultural sources where land-use change or sequestration activities are relevant.</w:t>
      </w:r>
    </w:p>
    <w:p>
      <w:r>
        <w:pict>
          <v:rect style="width:0;height:1.5pt" o:hralign="center" o:hrstd="t" o:hr="t"/>
        </w:pict>
      </w:r>
    </w:p>
    <w:bookmarkEnd w:id="30"/>
    <w:bookmarkEnd w:id="31"/>
    <w:bookmarkStart w:id="42" w:name="X439a6e6dcb43c636bf515ffaf3f59bce0bd6490"/>
    <w:p>
      <w:pPr>
        <w:pStyle w:val="Heading2"/>
      </w:pPr>
      <w:r>
        <w:t xml:space="preserve">3. Emission Calculation (Activity * Emission Factor = CO2e)</w:t>
      </w:r>
    </w:p>
    <w:p>
      <w:pPr>
        <w:pStyle w:val="FirstParagraph"/>
      </w:pPr>
      <w:r>
        <w:t xml:space="preserve">Based on the collected and assumed data, the carbon footprint for each lifecycle stage is calculated. All calculations are illustrative due to the nature of the input parameters being string names rather than parseable data, and thus using assumed values.</w:t>
      </w:r>
    </w:p>
    <w:bookmarkStart w:id="34" w:name="upstream-emissions-scope-3"/>
    <w:p>
      <w:pPr>
        <w:pStyle w:val="Heading3"/>
      </w:pPr>
      <w:r>
        <w:t xml:space="preserve">3.1. Upstream Emissions (Scope 3)</w:t>
      </w:r>
    </w:p>
    <w:bookmarkStart w:id="32" w:name="Xe11b7a16f034d64f91ecc806a4319fc6680c32f"/>
    <w:p>
      <w:pPr>
        <w:pStyle w:val="Heading4"/>
      </w:pPr>
      <w:r>
        <w:t xml:space="preserve">3.1.1. Materials Acquisition &amp; Pre-processing (from BOM)</w:t>
      </w:r>
    </w:p>
    <w:p>
      <w:pPr>
        <w:pStyle w:val="FirstParagraph"/>
      </w:pPr>
      <w:r>
        <w:t xml:space="preserve">The total carbon from raw materials, based on the illustrative BOM, is directly summed:</w:t>
      </w:r>
    </w:p>
    <w:p>
      <w:pPr>
        <w:pStyle w:val="BodyText"/>
      </w:pPr>
      <w:r>
        <w:rPr>
          <w:bCs/>
          <w:b/>
        </w:rPr>
        <w:t xml:space="preserve">Total Material Carbon: 6.42 kg CO2e</w:t>
      </w:r>
    </w:p>
    <w:bookmarkEnd w:id="32"/>
    <w:bookmarkStart w:id="33" w:name="transportation-primary-freight"/>
    <w:p>
      <w:pPr>
        <w:pStyle w:val="Heading4"/>
      </w:pPr>
      <w:r>
        <w:t xml:space="preserve">3.1.2. Transportation (Primary Freight)</w:t>
      </w:r>
    </w:p>
    <w:p>
      <w:pPr>
        <w:numPr>
          <w:ilvl w:val="0"/>
          <w:numId w:val="1007"/>
        </w:numPr>
        <w:pStyle w:val="Compact"/>
      </w:pPr>
      <w:r>
        <w:t xml:space="preserve">Product Weight: 1.5 kg (illustrative) = 0.0015 tonnes</w:t>
      </w:r>
    </w:p>
    <w:p>
      <w:pPr>
        <w:numPr>
          <w:ilvl w:val="0"/>
          <w:numId w:val="1007"/>
        </w:numPr>
        <w:pStyle w:val="Compact"/>
      </w:pPr>
      <w:r>
        <w:t xml:space="preserve">Distance: 1500 km (sqgjnripvh)</w:t>
      </w:r>
    </w:p>
    <w:p>
      <w:pPr>
        <w:numPr>
          <w:ilvl w:val="0"/>
          <w:numId w:val="1007"/>
        </w:numPr>
        <w:pStyle w:val="Compact"/>
      </w:pPr>
      <w:r>
        <w:t xml:space="preserve">Emission Factor (Road Freight): 0.08 kg CO2e/tkm</w:t>
      </w:r>
    </w:p>
    <w:p>
      <w:pPr>
        <w:numPr>
          <w:ilvl w:val="0"/>
          <w:numId w:val="1007"/>
        </w:numPr>
        <w:pStyle w:val="Compact"/>
      </w:pPr>
      <w:r>
        <w:t xml:space="preserve">Calculation: 0.0015 tonnes * 1500 km * 0.08 kg CO2e/tkm = 0.18 kg CO2e</w:t>
      </w:r>
    </w:p>
    <w:p>
      <w:pPr>
        <w:pStyle w:val="FirstParagraph"/>
      </w:pPr>
      <w:r>
        <w:rPr>
          <w:bCs/>
          <w:b/>
        </w:rPr>
        <w:t xml:space="preserve">Total Primary Transport Carbon: 0.18 kg CO2e</w:t>
      </w:r>
    </w:p>
    <w:bookmarkEnd w:id="33"/>
    <w:bookmarkEnd w:id="34"/>
    <w:bookmarkStart w:id="36" w:name="Xe4d766f18406e7a1d7442ccdfc1d0460874500e"/>
    <w:p>
      <w:pPr>
        <w:pStyle w:val="Heading3"/>
      </w:pPr>
      <w:r>
        <w:t xml:space="preserve">3.2. Core Emissions (Scope 1 &amp; Scope 2) - Manufacturing</w:t>
      </w:r>
    </w:p>
    <w:bookmarkStart w:id="35" w:name="manufacturing-energy-scope-2"/>
    <w:p>
      <w:pPr>
        <w:pStyle w:val="Heading4"/>
      </w:pPr>
      <w:r>
        <w:t xml:space="preserve">3.2.1. Manufacturing Energy (Scope 2)</w:t>
      </w:r>
    </w:p>
    <w:p>
      <w:pPr>
        <w:numPr>
          <w:ilvl w:val="0"/>
          <w:numId w:val="1008"/>
        </w:numPr>
        <w:pStyle w:val="Compact"/>
      </w:pPr>
      <w:r>
        <w:t xml:space="preserve">Energy Intensity: 2.5 kWh/unit (yrsfftqimj)</w:t>
      </w:r>
    </w:p>
    <w:p>
      <w:pPr>
        <w:numPr>
          <w:ilvl w:val="0"/>
          <w:numId w:val="1008"/>
        </w:numPr>
        <w:pStyle w:val="Compact"/>
      </w:pPr>
      <w:r>
        <w:t xml:space="preserve">Non-renewable percentage: (1 - 0.70 yuwtmtewvv) = 0.30</w:t>
      </w:r>
    </w:p>
    <w:p>
      <w:pPr>
        <w:numPr>
          <w:ilvl w:val="0"/>
          <w:numId w:val="1008"/>
        </w:numPr>
        <w:pStyle w:val="Compact"/>
      </w:pPr>
      <w:r>
        <w:t xml:space="preserve">Effective Grid Electricity Consumption: 2.5 kWh/unit * 0.30 = 0.75 kWh/unit</w:t>
      </w:r>
    </w:p>
    <w:p>
      <w:pPr>
        <w:numPr>
          <w:ilvl w:val="0"/>
          <w:numId w:val="1008"/>
        </w:numPr>
        <w:pStyle w:val="Compact"/>
      </w:pPr>
      <w:r>
        <w:t xml:space="preserve">Chinese Grid EF: 0.60 kg CO2e/kWh</w:t>
      </w:r>
    </w:p>
    <w:p>
      <w:pPr>
        <w:numPr>
          <w:ilvl w:val="0"/>
          <w:numId w:val="1008"/>
        </w:numPr>
        <w:pStyle w:val="Compact"/>
      </w:pPr>
      <w:r>
        <w:t xml:space="preserve">Calculation: 0.75 kWh/unit * 0.60 kg CO2e/kWh = 0.45 kg CO2e</w:t>
      </w:r>
    </w:p>
    <w:p>
      <w:pPr>
        <w:pStyle w:val="FirstParagraph"/>
      </w:pPr>
      <w:r>
        <w:rPr>
          <w:bCs/>
          <w:b/>
        </w:rPr>
        <w:t xml:space="preserve">Total Manufacturing Energy Carbon (Scope 2): 0.45 kg CO2e</w:t>
      </w:r>
    </w:p>
    <w:p>
      <w:pPr>
        <w:pStyle w:val="BodyText"/>
      </w:pPr>
      <w:r>
        <w:rPr>
          <w:iCs/>
          <w:i/>
        </w:rPr>
        <w:t xml:space="preserve">Note: Scope 1 emissions from direct fuel combustion on-site are assumed negligible for the product boundary, as per \'factory_gate\' focus and common product assessment scope unless explicitly detailed.</w:t>
      </w:r>
    </w:p>
    <w:bookmarkEnd w:id="35"/>
    <w:bookmarkEnd w:id="36"/>
    <w:bookmarkStart w:id="40" w:name="downstream-emissions-scope-3"/>
    <w:p>
      <w:pPr>
        <w:pStyle w:val="Heading3"/>
      </w:pPr>
      <w:r>
        <w:t xml:space="preserve">3.3. Downstream Emissions (Scope 3)</w:t>
      </w:r>
    </w:p>
    <w:bookmarkStart w:id="37" w:name="last-mile-delivery"/>
    <w:p>
      <w:pPr>
        <w:pStyle w:val="Heading4"/>
      </w:pPr>
      <w:r>
        <w:t xml:space="preserve">3.3.1. Last-Mile Delivery</w:t>
      </w:r>
    </w:p>
    <w:p>
      <w:pPr>
        <w:numPr>
          <w:ilvl w:val="0"/>
          <w:numId w:val="1009"/>
        </w:numPr>
        <w:pStyle w:val="Compact"/>
      </w:pPr>
      <w:r>
        <w:t xml:space="preserve">Product Weight: 1.5 kg (illustrative)</w:t>
      </w:r>
    </w:p>
    <w:p>
      <w:pPr>
        <w:numPr>
          <w:ilvl w:val="0"/>
          <w:numId w:val="1009"/>
        </w:numPr>
        <w:pStyle w:val="Compact"/>
      </w:pPr>
      <w:r>
        <w:t xml:space="preserve">Assumed Last-Mile Distance: 50 km (illustrative)</w:t>
      </w:r>
    </w:p>
    <w:p>
      <w:pPr>
        <w:numPr>
          <w:ilvl w:val="0"/>
          <w:numId w:val="1009"/>
        </w:numPr>
        <w:pStyle w:val="Compact"/>
      </w:pPr>
      <w:r>
        <w:t xml:space="preserve">Emission Factor (Parcel Delivery): 0.0005 kg CO2e/kg·km</w:t>
      </w:r>
    </w:p>
    <w:p>
      <w:pPr>
        <w:numPr>
          <w:ilvl w:val="0"/>
          <w:numId w:val="1009"/>
        </w:numPr>
        <w:pStyle w:val="Compact"/>
      </w:pPr>
      <w:r>
        <w:t xml:space="preserve">Calculation: 1.5 kg * 50 km * 0.0005 kg CO2e/kg·km = 0.0375 kg CO2e</w:t>
      </w:r>
    </w:p>
    <w:p>
      <w:pPr>
        <w:pStyle w:val="FirstParagraph"/>
      </w:pPr>
      <w:r>
        <w:rPr>
          <w:bCs/>
          <w:b/>
        </w:rPr>
        <w:t xml:space="preserve">Total Last-Mile Delivery Carbon: 0.04 kg CO2e (rounded)</w:t>
      </w:r>
    </w:p>
    <w:bookmarkEnd w:id="37"/>
    <w:bookmarkStart w:id="38" w:name="use-phase-energy-consumption"/>
    <w:p>
      <w:pPr>
        <w:pStyle w:val="Heading4"/>
      </w:pPr>
      <w:r>
        <w:t xml:space="preserve">3.3.2. Use Phase Energy Consumption</w:t>
      </w:r>
    </w:p>
    <w:p>
      <w:pPr>
        <w:numPr>
          <w:ilvl w:val="0"/>
          <w:numId w:val="1010"/>
        </w:numPr>
        <w:pStyle w:val="Compact"/>
      </w:pPr>
      <w:r>
        <w:t xml:space="preserve">Product Lifespan: 5 years (kffyneejnz)</w:t>
      </w:r>
    </w:p>
    <w:p>
      <w:pPr>
        <w:numPr>
          <w:ilvl w:val="0"/>
          <w:numId w:val="1010"/>
        </w:numPr>
        <w:pStyle w:val="Compact"/>
      </w:pPr>
      <w:r>
        <w:t xml:space="preserve">Annual Energy Consumption: 10 kWh/year (ghurntyvyn)</w:t>
      </w:r>
    </w:p>
    <w:p>
      <w:pPr>
        <w:numPr>
          <w:ilvl w:val="0"/>
          <w:numId w:val="1010"/>
        </w:numPr>
        <w:pStyle w:val="Compact"/>
      </w:pPr>
      <w:r>
        <w:t xml:space="preserve">Total Energy Consumption over Lifespan: 10 kWh/year * 5 years = 50 kWh</w:t>
      </w:r>
    </w:p>
    <w:p>
      <w:pPr>
        <w:numPr>
          <w:ilvl w:val="0"/>
          <w:numId w:val="1010"/>
        </w:numPr>
        <w:pStyle w:val="Compact"/>
      </w:pPr>
      <w:r>
        <w:t xml:space="preserve">European Electricity Grid EF (Use Phase): 0.25 kg CO2e/kWh</w:t>
      </w:r>
    </w:p>
    <w:p>
      <w:pPr>
        <w:numPr>
          <w:ilvl w:val="0"/>
          <w:numId w:val="1010"/>
        </w:numPr>
        <w:pStyle w:val="Compact"/>
      </w:pPr>
      <w:r>
        <w:t xml:space="preserve">Calculation: 50 kWh * 0.25 kg CO2e/kWh = 12.50 kg CO2e</w:t>
      </w:r>
    </w:p>
    <w:p>
      <w:pPr>
        <w:pStyle w:val="FirstParagraph"/>
      </w:pPr>
      <w:r>
        <w:rPr>
          <w:bCs/>
          <w:b/>
        </w:rPr>
        <w:t xml:space="preserve">Total Use Phase Carbon: 12.50 kg CO2e</w:t>
      </w:r>
    </w:p>
    <w:bookmarkEnd w:id="38"/>
    <w:bookmarkStart w:id="39" w:name="end-of-life-eol-treatment"/>
    <w:p>
      <w:pPr>
        <w:pStyle w:val="Heading4"/>
      </w:pPr>
      <w:r>
        <w:t xml:space="preserve">3.3.3. End-of-Life (EoL) Treatment</w:t>
      </w:r>
    </w:p>
    <w:p>
      <w:pPr>
        <w:numPr>
          <w:ilvl w:val="0"/>
          <w:numId w:val="1011"/>
        </w:numPr>
        <w:pStyle w:val="Compact"/>
      </w:pPr>
      <w:r>
        <w:t xml:space="preserve">Product Weight at EoL: 1.5 kg (illustrative)</w:t>
      </w:r>
    </w:p>
    <w:p>
      <w:pPr>
        <w:numPr>
          <w:ilvl w:val="0"/>
          <w:numId w:val="1011"/>
        </w:numPr>
        <w:pStyle w:val="Compact"/>
      </w:pPr>
      <w:r>
        <w:t xml:space="preserve">Recyclability Percentage: 80% (wmlruvrerz)</w:t>
      </w:r>
    </w:p>
    <w:p>
      <w:pPr>
        <w:numPr>
          <w:ilvl w:val="0"/>
          <w:numId w:val="1011"/>
        </w:numPr>
        <w:pStyle w:val="Compact"/>
      </w:pPr>
      <w:r>
        <w:t xml:space="preserve">Material distribution for EoL (illustrative for 80% recycled portion): 50% plastic, 30% metal, 20% cardboard.</w:t>
      </w:r>
    </w:p>
    <w:p>
      <w:pPr>
        <w:numPr>
          <w:ilvl w:val="1"/>
          <w:numId w:val="1012"/>
        </w:numPr>
        <w:pStyle w:val="Compact"/>
      </w:pPr>
      <w:r>
        <w:t xml:space="preserve">Recycled Plastic: 1.5 kg * 0.80 * 0.50 = 0.6 kg; Benefit: 0.6 kg * -1.0 kg CO2e/kg = -0.60 kg CO2e</w:t>
      </w:r>
    </w:p>
    <w:p>
      <w:pPr>
        <w:numPr>
          <w:ilvl w:val="1"/>
          <w:numId w:val="1012"/>
        </w:numPr>
        <w:pStyle w:val="Compact"/>
      </w:pPr>
      <w:r>
        <w:t xml:space="preserve">Recycled Metal: 1.5 kg * 0.80 * 0.30 = 0.36 kg; Benefit: 0.36 kg * -8.0 kg CO2e/kg = -2.88 kg CO2e</w:t>
      </w:r>
    </w:p>
    <w:p>
      <w:pPr>
        <w:numPr>
          <w:ilvl w:val="1"/>
          <w:numId w:val="1012"/>
        </w:numPr>
        <w:pStyle w:val="Compact"/>
      </w:pPr>
      <w:r>
        <w:t xml:space="preserve">Recycled Cardboard: 1.5 kg * 0.80 * 0.20 = 0.24 kg; Benefit: 0.24 kg * -0.4 kg CO2e/kg = -0.10 kg CO2e (rounded)</w:t>
      </w:r>
    </w:p>
    <w:p>
      <w:pPr>
        <w:numPr>
          <w:ilvl w:val="0"/>
          <w:numId w:val="1011"/>
        </w:numPr>
        <w:pStyle w:val="Compact"/>
      </w:pPr>
      <w:r>
        <w:t xml:space="preserve">Non-Recycled Portion: 1.5 kg * (1 - 0.80) = 0.3 kg</w:t>
      </w:r>
    </w:p>
    <w:p>
      <w:pPr>
        <w:numPr>
          <w:ilvl w:val="0"/>
          <w:numId w:val="1011"/>
        </w:numPr>
        <w:pStyle w:val="Compact"/>
      </w:pPr>
      <w:r>
        <w:t xml:space="preserve">Disposal EF (Landfill): 0.5 kg CO2e/kg</w:t>
      </w:r>
    </w:p>
    <w:p>
      <w:pPr>
        <w:numPr>
          <w:ilvl w:val="0"/>
          <w:numId w:val="1011"/>
        </w:numPr>
        <w:pStyle w:val="Compact"/>
      </w:pPr>
      <w:r>
        <w:t xml:space="preserve">Calculation for Disposal: 0.3 kg * 0.5 kg CO2e/kg = 0.15 kg CO2e</w:t>
      </w:r>
    </w:p>
    <w:p>
      <w:pPr>
        <w:numPr>
          <w:ilvl w:val="0"/>
          <w:numId w:val="1011"/>
        </w:numPr>
        <w:pStyle w:val="Compact"/>
      </w:pPr>
      <w:r>
        <w:t xml:space="preserve">Total EoL Carbon: (-0.60) + (-2.88) + (-0.10) + 0.15 = -3.43 kg CO2e</w:t>
      </w:r>
    </w:p>
    <w:p>
      <w:pPr>
        <w:pStyle w:val="FirstParagraph"/>
      </w:pPr>
      <w:r>
        <w:rPr>
          <w:bCs/>
          <w:b/>
        </w:rPr>
        <w:t xml:space="preserve">Total End-of-Life Carbon: -3.43 kg CO2e (net removal due to recycling benefits)</w:t>
      </w:r>
    </w:p>
    <w:p>
      <w:pPr>
        <w:pStyle w:val="BodyText"/>
      </w:pPr>
      <w:r>
        <w:rPr>
          <w:iCs/>
          <w:i/>
        </w:rPr>
        <w:t xml:space="preserve">Note on Circular/Take-back Programs (nnjyxishwi): The presence of an established take-back scheme (nnjyxishwi) further enhances the effective recyclability and ensures proper collection, potentially reducing leakage to landfill and improving material recovery rates beyond the stated percentage, leading to higher actual avoided emissions. The quantification above already assumes a high recyclability rate.</w:t>
      </w:r>
    </w:p>
    <w:bookmarkEnd w:id="39"/>
    <w:bookmarkEnd w:id="40"/>
    <w:bookmarkStart w:id="41" w:name="Xd9a57f0e347bd1a65d2bcaf57cd0dc77acbe9e1"/>
    <w:p>
      <w:pPr>
        <w:pStyle w:val="Heading3"/>
      </w:pPr>
      <w:r>
        <w:t xml:space="preserve">3.4. Summary of PCF by Lifecycle Stage and Scope</w:t>
      </w:r>
    </w:p>
    <w:p>
      <w:pPr>
        <w:pStyle w:val="FirstParagraph"/>
      </w:pPr>
      <w:r>
        <w:t xml:space="preserve">The total Product Carbon Footprint for 1.0 unit of tzkrxizrkp is summarized below (illustrative values).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6.42</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0.45</w:t>
            </w:r>
          </w:p>
        </w:tc>
      </w:tr>
      <w:tr>
        <w:tc>
          <w:tcPr/>
          <w:p>
            <w:pPr>
              <w:pStyle w:val="Compact"/>
              <w:jc w:val="left"/>
            </w:pPr>
            <w:r>
              <w:t xml:space="preserve">Transportation (Primary Freight)</w:t>
            </w:r>
          </w:p>
        </w:tc>
        <w:tc>
          <w:tcPr/>
          <w:p>
            <w:pPr>
              <w:pStyle w:val="Compact"/>
              <w:jc w:val="left"/>
            </w:pPr>
            <w:r>
              <w:t xml:space="preserve">Scope 3 (Upstream)</w:t>
            </w:r>
          </w:p>
        </w:tc>
        <w:tc>
          <w:tcPr/>
          <w:p>
            <w:pPr>
              <w:pStyle w:val="Compact"/>
              <w:jc w:val="left"/>
            </w:pPr>
            <w:r>
              <w:t xml:space="preserve">0.18</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0.04</w:t>
            </w:r>
          </w:p>
        </w:tc>
      </w:tr>
      <w:tr>
        <w:tc>
          <w:tcPr/>
          <w:p>
            <w:pPr>
              <w:pStyle w:val="Compact"/>
              <w:jc w:val="left"/>
            </w:pPr>
            <w:r>
              <w:t xml:space="preserve">Use Phase Energy Consumption</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-3.43</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16.16</w:t>
            </w:r>
          </w:p>
        </w:tc>
      </w:tr>
    </w:tbl>
    <w:p>
      <w:pPr>
        <w:pStyle w:val="BodyText"/>
      </w:pPr>
      <w:r>
        <w:rPr>
          <w:bCs/>
          <w:b/>
        </w:rPr>
        <w:t xml:space="preserve">Overall Product Carbon Footprint for tzkrxizrkp: 16.16 kg CO2e per functional unit.</w:t>
      </w:r>
    </w:p>
    <w:p>
      <w:pPr>
        <w:pStyle w:val="BodyText"/>
      </w:pPr>
      <w:r>
        <w:rPr>
          <w:bCs/>
          <w:b/>
        </w:rPr>
        <w:t xml:space="preserve">Scope 3 Coverage:</w:t>
      </w:r>
      <w:r>
        <w:t xml:space="preserve"> </w:t>
      </w:r>
      <w:r>
        <w:t xml:space="preserve">With material production, all transport, use phase, and end-of-life considered, the Scope 3 emissions account for approximately (6.42 + 0.18 + 0.04 + 12.50 - 3.43) / 16.16 = 15.71 / 16.16 ≈ 97.2% of the total PCF, meeting the 95% coverage requirement for 2026.</w:t>
      </w:r>
    </w:p>
    <w:p>
      <w:r>
        <w:pict>
          <v:rect style="width:0;height:1.5pt" o:hralign="center" o:hrstd="t" o:hr="t"/>
        </w:pict>
      </w:r>
    </w:p>
    <w:bookmarkEnd w:id="41"/>
    <w:bookmarkEnd w:id="42"/>
    <w:bookmarkStart w:id="46" w:name="review-report---hotspots-and-reliability"/>
    <w:p>
      <w:pPr>
        <w:pStyle w:val="Heading2"/>
      </w:pPr>
      <w:r>
        <w:t xml:space="preserve">4. Review &amp; Report - Hotspots and Reliability</w:t>
      </w:r>
    </w:p>
    <w:bookmarkStart w:id="43" w:name="emission-hotspots"/>
    <w:p>
      <w:pPr>
        <w:pStyle w:val="Heading3"/>
      </w:pPr>
      <w:r>
        <w:t xml:space="preserve">4.1. Emission Hotspots</w:t>
      </w:r>
    </w:p>
    <w:p>
      <w:pPr>
        <w:pStyle w:val="FirstParagraph"/>
      </w:pPr>
      <w:r>
        <w:t xml:space="preserve">The primary emission hotspots for tzkrxizrkp, based on this illustrative analysis, are:</w:t>
      </w:r>
    </w:p>
    <w:p>
      <w:pPr>
        <w:numPr>
          <w:ilvl w:val="0"/>
          <w:numId w:val="1013"/>
        </w:numPr>
        <w:pStyle w:val="Compact"/>
      </w:pPr>
      <w:r>
        <w:rPr>
          <w:bCs/>
          <w:b/>
        </w:rPr>
        <w:t xml:space="preserve">Use Phase Energy Consumption (12.50 kg CO2e):</w:t>
      </w:r>
      <w:r>
        <w:t xml:space="preserve"> </w:t>
      </w:r>
      <w:r>
        <w:t xml:space="preserve">This is by far the largest contributor, highlighting the importance of energy efficiency during product operation and the carbon intensity of the electricity grid where the product is used.</w:t>
      </w:r>
    </w:p>
    <w:p>
      <w:pPr>
        <w:numPr>
          <w:ilvl w:val="0"/>
          <w:numId w:val="1013"/>
        </w:numPr>
        <w:pStyle w:val="Compact"/>
      </w:pPr>
      <w:r>
        <w:rPr>
          <w:bCs/>
          <w:b/>
        </w:rPr>
        <w:t xml:space="preserve">Materials Acquisition &amp; Pre-processing (6.42 kg CO2e):</w:t>
      </w:r>
      <w:r>
        <w:t xml:space="preserve"> </w:t>
      </w:r>
      <w:r>
        <w:t xml:space="preserve">The production of raw materials significantly contributes to the upfront footprint, emphasizing the need for sustainable material choices and circular design.</w:t>
      </w:r>
    </w:p>
    <w:bookmarkEnd w:id="43"/>
    <w:bookmarkStart w:id="44" w:name="reliability-and-limitations"/>
    <w:p>
      <w:pPr>
        <w:pStyle w:val="Heading3"/>
      </w:pPr>
      <w:r>
        <w:t xml:space="preserve">4.2. Reliability and Limitations</w:t>
      </w:r>
    </w:p>
    <w:p>
      <w:pPr>
        <w:pStyle w:val="FirstParagraph"/>
      </w:pPr>
      <w:r>
        <w:t xml:space="preserve">The reliability of this PCF analysis is subject to the following considerations:</w:t>
      </w:r>
    </w:p>
    <w:p>
      <w:pPr>
        <w:numPr>
          <w:ilvl w:val="0"/>
          <w:numId w:val="1014"/>
        </w:numPr>
        <w:pStyle w:val="Compact"/>
      </w:pPr>
      <w:r>
        <w:rPr>
          <w:bCs/>
          <w:b/>
        </w:rPr>
        <w:t xml:space="preserve">Illustrative Data:</w:t>
      </w:r>
      <w:r>
        <w:t xml:space="preserve"> </w:t>
      </w:r>
      <w:r>
        <w:t xml:space="preserve">A significant limitation is the use of illustrative data for the Bill of Materials (\'ytotrlhh\') and other specific parameters where only parameter names were provided. Actual, granular data for each material and process would yield a more precise result.</w:t>
      </w:r>
    </w:p>
    <w:p>
      <w:pPr>
        <w:numPr>
          <w:ilvl w:val="0"/>
          <w:numId w:val="1014"/>
        </w:numPr>
        <w:pStyle w:val="Compact"/>
      </w:pPr>
      <w:r>
        <w:rPr>
          <w:bCs/>
          <w:b/>
        </w:rPr>
        <w:t xml:space="preserve">Emission Factor Assumptions:</w:t>
      </w:r>
      <w:r>
        <w:t xml:space="preserve"> </w:t>
      </w:r>
      <w:r>
        <w:t xml:space="preserve">Generic, industry-average emission factors have been used for various stages (e.g., transport modes, grid electricity, recycling benefits). While representative of industry standards, specific supplier data would enhance accuracy.</w:t>
      </w:r>
    </w:p>
    <w:p>
      <w:pPr>
        <w:numPr>
          <w:ilvl w:val="0"/>
          <w:numId w:val="1014"/>
        </w:numPr>
        <w:pStyle w:val="Compact"/>
      </w:pPr>
      <w:r>
        <w:rPr>
          <w:bCs/>
          <w:b/>
        </w:rPr>
        <w:t xml:space="preserve">System Boundary:</w:t>
      </w:r>
      <w:r>
        <w:t xml:space="preserve"> </w:t>
      </w:r>
      <w:r>
        <w:t xml:space="preserve">While covering \'cradle-to-grave\', certain upstream (e.g., capital goods, business travel) or downstream (e.g., waste treatment of packaging by consumers) elements outside the direct product lifecycle may not be fully captured, consistent with the \'factory_gate\' and product-focused boundary.</w:t>
      </w:r>
    </w:p>
    <w:p>
      <w:pPr>
        <w:numPr>
          <w:ilvl w:val="0"/>
          <w:numId w:val="1014"/>
        </w:numPr>
        <w:pStyle w:val="Compact"/>
      </w:pPr>
      <w:r>
        <w:rPr>
          <w:bCs/>
          <w:b/>
        </w:rPr>
        <w:t xml:space="preserve">LSR Standard:</w:t>
      </w:r>
      <w:r>
        <w:t xml:space="preserve"> </w:t>
      </w:r>
      <w:r>
        <w:t xml:space="preserve">The impact of the 2026 LSR Standard is qualitatively addressed; a detailed quantification would require specific data on bio-based content and associated land-use changes.</w:t>
      </w:r>
    </w:p>
    <w:bookmarkEnd w:id="44"/>
    <w:bookmarkStart w:id="45" w:name="recommendations-for-reduction"/>
    <w:p>
      <w:pPr>
        <w:pStyle w:val="Heading3"/>
      </w:pPr>
      <w:r>
        <w:t xml:space="preserve">4.3. Recommendations for Reduction</w:t>
      </w:r>
    </w:p>
    <w:p>
      <w:pPr>
        <w:pStyle w:val="FirstParagraph"/>
      </w:pPr>
      <w:r>
        <w:t xml:space="preserve">Based on the identified hotspots, dyrmgvgkjx should consider the following strategies to reduce the PCF of tzkrxizrkp:</w:t>
      </w:r>
    </w:p>
    <w:p>
      <w:pPr>
        <w:numPr>
          <w:ilvl w:val="0"/>
          <w:numId w:val="1015"/>
        </w:numPr>
        <w:pStyle w:val="Compact"/>
      </w:pPr>
      <w:r>
        <w:rPr>
          <w:bCs/>
          <w:b/>
        </w:rPr>
        <w:t xml:space="preserve">Energy Efficiency in Use:</w:t>
      </w:r>
      <w:r>
        <w:t xml:space="preserve"> </w:t>
      </w:r>
      <w:r>
        <w:t xml:space="preserve">Invest in R&amp;D to significantly reduce the product\'s energy consumption during its use phase. Promoting the use of renewable energy by end-users or providing off-grid solutions could also be explored.</w:t>
      </w:r>
    </w:p>
    <w:p>
      <w:pPr>
        <w:numPr>
          <w:ilvl w:val="0"/>
          <w:numId w:val="1015"/>
        </w:numPr>
        <w:pStyle w:val="Compact"/>
      </w:pPr>
      <w:r>
        <w:rPr>
          <w:bCs/>
          <w:b/>
        </w:rPr>
        <w:t xml:space="preserve">Sustainable Material Sourcing:</w:t>
      </w:r>
      <w:r>
        <w:t xml:space="preserve"> </w:t>
      </w:r>
      <w:r>
        <w:t xml:space="preserve">Prioritize materials with lower embedded carbon, increased recycled content, or bio-based alternatives, verifiable with Environmental Product Declarations (EPDs) from suppliers.</w:t>
      </w:r>
    </w:p>
    <w:p>
      <w:pPr>
        <w:numPr>
          <w:ilvl w:val="0"/>
          <w:numId w:val="1015"/>
        </w:numPr>
        <w:pStyle w:val="Compact"/>
      </w:pPr>
      <w:r>
        <w:rPr>
          <w:bCs/>
          <w:b/>
        </w:rPr>
        <w:t xml:space="preserve">Circular Economy Integration:</w:t>
      </w:r>
      <w:r>
        <w:t xml:space="preserve"> </w:t>
      </w:r>
      <w:r>
        <w:t xml:space="preserve">Leverage the existing take-back scheme (nnjyxishwi) to maximize actual recycling rates and explore opportunities for repairability, refurbishment, and remanufacturing to extend product lifespan and minimize material input.</w:t>
      </w:r>
    </w:p>
    <w:p>
      <w:pPr>
        <w:numPr>
          <w:ilvl w:val="0"/>
          <w:numId w:val="1015"/>
        </w:numPr>
        <w:pStyle w:val="Compact"/>
      </w:pPr>
      <w:r>
        <w:rPr>
          <w:bCs/>
          <w:b/>
        </w:rPr>
        <w:t xml:space="preserve">Supply Chain Optimization:</w:t>
      </w:r>
      <w:r>
        <w:t xml:space="preserve"> </w:t>
      </w:r>
      <w:r>
        <w:t xml:space="preserve">Investigate opportunities to optimize transport logistics, such as consolidating shipments, shifting to lower-emission transport modes where feasible, and localizing supply chains.</w:t>
      </w:r>
    </w:p>
    <w:p>
      <w:pPr>
        <w:numPr>
          <w:ilvl w:val="0"/>
          <w:numId w:val="1015"/>
        </w:numPr>
        <w:pStyle w:val="Compact"/>
      </w:pPr>
      <w:r>
        <w:rPr>
          <w:bCs/>
          <w:b/>
        </w:rPr>
        <w:t xml:space="preserve">Manufacturing Efficiency:</w:t>
      </w:r>
      <w:r>
        <w:t xml:space="preserve"> </w:t>
      </w:r>
      <w:r>
        <w:t xml:space="preserve">Continue to increase renewable energy usage beyond yuwtmtewvv (70%) in manufacturing operations and implement energy-efficient production processes.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tzkrxizrkp</dc:title>
  <dc:creator/>
  <dc:description>Detailed Product Carbon Footprint (PCF) analysis report for product tzkrxizrkp by dyrmgvgkjx, adhering to GHG Protocol and 2026 LSR Update requirements.</dc:description>
  <dc:language>en</dc:language>
  <cp:keywords/>
  <dcterms:created xsi:type="dcterms:W3CDTF">2026-07-15T03:58:14Z</dcterms:created>
  <dcterms:modified xsi:type="dcterms:W3CDTF">2026-07-15T03:58:14Z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