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txxgpqsykv</w:t>
      </w:r>
      <w:r>
        <w:t xml:space="preserve"> </w:t>
      </w:r>
      <w:r>
        <w:t xml:space="preserve">(Smartwatch</w:t>
      </w:r>
      <w:r>
        <w:t xml:space="preserve"> </w:t>
      </w:r>
      <w:r>
        <w:t xml:space="preserve">Pro)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txxgpqsykv (Smartwatch Pro)</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jpvrqrfrxk</w:t>
      </w:r>
    </w:p>
    <w:p>
      <w:pPr>
        <w:pStyle w:val="BodyText"/>
      </w:pPr>
      <w:r>
        <w:t xml:space="preserve">Senior Sustainability Consultant:</w:t>
      </w:r>
      <w:r>
        <w:t xml:space="preserve"> </w:t>
      </w:r>
      <w:r>
        <w:rPr>
          <w:bCs/>
          <w:b/>
        </w:rPr>
        <w:t xml:space="preserve">mmdytrzlnj</w:t>
      </w:r>
    </w:p>
    <w:p>
      <w:pPr>
        <w:pStyle w:val="BodyText"/>
      </w:pPr>
      <w:r>
        <w:t xml:space="preserve">Disclaimer: This report is generated based on available data and industry standards, including specific parameters provided by the client. While every effort has been made to ensure accuracy and adherence to the GHG Protocol, results are indicative and may be subject to further refinement with more granular primary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 current_date }}</w:t>
      </w:r>
    </w:p>
    <w:p>
      <w:pPr>
        <w:pStyle w:val="BodyText"/>
      </w:pPr>
      <w:r>
        <w:rPr>
          <w:bCs/>
          <w:b/>
        </w:rPr>
        <w:t xml:space="preserve">Company:</w:t>
      </w:r>
      <w:r>
        <w:t xml:space="preserve"> </w:t>
      </w:r>
      <w:r>
        <w:t xml:space="preserve">jpvrqrfrxk</w:t>
      </w:r>
    </w:p>
    <w:p>
      <w:pPr>
        <w:pStyle w:val="BodyText"/>
      </w:pPr>
      <w:r>
        <w:rPr>
          <w:bCs/>
          <w:b/>
        </w:rPr>
        <w:t xml:space="preserve">Senior Sustainability Consultant:</w:t>
      </w:r>
      <w:r>
        <w:t xml:space="preserve"> </w:t>
      </w:r>
      <w:r>
        <w:t xml:space="preserve">mmdytrzlnj</w:t>
      </w:r>
    </w:p>
    <w:p>
      <w:pPr>
        <w:pStyle w:val="BodyText"/>
      </w:pPr>
      <w:r>
        <w:rPr>
          <w:bCs/>
          <w:b/>
        </w:rPr>
        <w:t xml:space="preserve">Product:</w:t>
      </w:r>
      <w:r>
        <w:t xml:space="preserve"> </w:t>
      </w:r>
      <w:r>
        <w:t xml:space="preserve">txxgpqsykv (Smartwatch Pro)</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txxgpqsykv (Smartwatch Pro), manufactured by jpvrqrfrxk. Conducted by mmdytrzlnj, Senior Sustainability Consultant, this analysis adheres to the GHG Protocol, including considerations for the 2026 Land Sector and Removals (LSR) Standard and stringent Scope 3 reporting requirements. The objective is to quantify the greenhouse gas emissions associated with the product\'s lifecycle, identify emission hotspots, and provide a basis for targeted decarbonization efforts. The total carbon footprint for one functional unit (1.0 unit) of txxgpqsykv is determined, encompassing material acquisition, production, transport, use, and end-of-life phases.</w:t>
      </w:r>
    </w:p>
    <w:p>
      <w:r>
        <w:pict>
          <v:rect style="width:0;height:1.5pt" o:hralign="center" o:hrstd="t" o:hr="t"/>
        </w:pict>
      </w:r>
    </w:p>
    <w:bookmarkEnd w:id="22"/>
    <w:bookmarkStart w:id="26" w:name="methodology"/>
    <w:p>
      <w:pPr>
        <w:pStyle w:val="Heading2"/>
      </w:pPr>
      <w:r>
        <w:t xml:space="preserve">1. Methodology</w:t>
      </w:r>
    </w:p>
    <w:p>
      <w:pPr>
        <w:pStyle w:val="FirstParagraph"/>
      </w:pPr>
      <w:r>
        <w:t xml:space="preserve">The Product Carbon Footprint (PCF) analysis was conducted following a five-step methodology in strict adherence to the GHG Protocol standards, ensuring a comprehensive and robust assessment of emissions across the product\'s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txxgpqsykv (Smartwatch Pro).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The analysis considers emissions from raw material acquisition up to the point the product leaves the factory gate, extending to include transport to the customer,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primary energy mix and relevant regional emission factors used in calculations.</w:t>
      </w:r>
    </w:p>
    <w:p>
      <w:pPr>
        <w:numPr>
          <w:ilvl w:val="0"/>
          <w:numId w:val="1001"/>
        </w:numPr>
        <w:pStyle w:val="Compact"/>
      </w:pPr>
      <w:r>
        <w:rPr>
          <w:bCs/>
          <w:b/>
        </w:rPr>
        <w:t xml:space="preserve">Accounting Standard:</w:t>
      </w:r>
      <w:r>
        <w:t xml:space="preserve"> </w:t>
      </w:r>
      <w:r>
        <w:t xml:space="preserve">GHG Protocol. All emissions are categorized into Scope 1, Scope 2, and Scope 3 according to GHG Protocol Corporate Standard guidelines. Specific attention is given to the 2026 Land Sector and Removals (LSR) Standard and achieving at least 95% coverage for Scope 3 reporting.</w:t>
      </w:r>
    </w:p>
    <w:p>
      <w:pPr>
        <w:numPr>
          <w:ilvl w:val="0"/>
          <w:numId w:val="1001"/>
        </w:numPr>
        <w:pStyle w:val="Compact"/>
      </w:pPr>
      <w:r>
        <w:rPr>
          <w:bCs/>
          <w:b/>
        </w:rPr>
        <w:t xml:space="preserve">Allocation:</w:t>
      </w:r>
      <w:r>
        <w:t xml:space="preserve"> </w:t>
      </w:r>
      <w:r>
        <w:t xml:space="preserve">Emissions are allocated directly to the functional unit. For multi-product processes, allocation is based on relevant physical parameters where applicable.</w:t>
      </w:r>
    </w:p>
    <w:bookmarkEnd w:id="23"/>
    <w:bookmarkStart w:id="25" w:name="X5e8482f710871021beb9278d0e8133ddc8ab266"/>
    <w:p>
      <w:pPr>
        <w:pStyle w:val="Heading3"/>
      </w:pPr>
      <w:r>
        <w:t xml:space="preserve">1.2. Map Lifecycle (LCI Inventory Stages) &amp; 1.3. Collect Data (Primary/Secondary Data Points)</w:t>
      </w:r>
    </w:p>
    <w:p>
      <w:pPr>
        <w:pStyle w:val="FirstParagraph"/>
      </w:pPr>
      <w:r>
        <w:t xml:space="preserve">The lifecycle of txxgpqsykv was mapped into key stages, and data was collected to quantify material and energy flows. Primary data points, where provided, were prioritized for accuracy, supplemented by secondary data from industry-standard databases (e.g., Ecoinvent/DEFRA proxies) for generic processes and emission factors.</w:t>
      </w:r>
    </w:p>
    <w:bookmarkStart w:id="24" w:name="X4ca34670bbc89286112f3b9cfdaaaba49e4084a"/>
    <w:p>
      <w:pPr>
        <w:pStyle w:val="Heading4"/>
      </w:pPr>
      <w:r>
        <w:t xml:space="preserve">Detailed Bill of Materials (BOM) for txxgpqsykv</w:t>
      </w:r>
    </w:p>
    <w:p>
      <w:pPr>
        <w:pStyle w:val="FirstParagraph"/>
      </w:pPr>
      <w:r>
        <w:t xml:space="preserve">The material composition of txxgpqsykv is a critical input for calculating upstream (Scope 3) emissions. The following detailed Bill of Materials (BOM) was utilized for high-accuracy material impact calculation:</w:t>
      </w:r>
    </w:p>
    <w:p>
      <w:pPr>
        <w:pStyle w:val="BodyText"/>
      </w:pPr>
      <w:r>
        <w:t xml:space="preserve">ID</w:t>
      </w:r>
    </w:p>
    <w:bookmarkEnd w:id="24"/>
    <w:bookmarkEnd w:id="25"/>
    <w:bookmarkEnd w:id="26"/>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t xml:space="preserve">{% for item in bom_items %}</w:t>
      </w:r>
    </w:p>
    <w:p>
      <w:pPr>
        <w:pStyle w:val="BodyText"/>
      </w:pPr>
      <w:r>
        <w:t xml:space="preserve">{{ item.ID }}</w:t>
      </w:r>
    </w:p>
    <w:p>
      <w:pPr>
        <w:pStyle w:val="BodyText"/>
      </w:pPr>
      <w:r>
        <w:t xml:space="preserve">{{ item.Description }}</w:t>
      </w:r>
    </w:p>
    <w:p>
      <w:pPr>
        <w:pStyle w:val="BodyText"/>
      </w:pPr>
      <w:r>
        <w:t xml:space="preserve">{{ item.Category }}</w:t>
      </w:r>
    </w:p>
    <w:p>
      <w:pPr>
        <w:pStyle w:val="BodyText"/>
      </w:pPr>
      <w:r>
        <w:t xml:space="preserve">{{ item.Process }}</w:t>
      </w:r>
    </w:p>
    <w:p>
      <w:pPr>
        <w:pStyle w:val="BodyText"/>
      </w:pPr>
      <w:r>
        <w:t xml:space="preserve">{{ "%.2f"|format(item.Qty) }}</w:t>
      </w:r>
    </w:p>
    <w:p>
      <w:pPr>
        <w:pStyle w:val="BodyText"/>
      </w:pPr>
      <w:r>
        <w:t xml:space="preserve">{{ item.Unit }}</w:t>
      </w:r>
    </w:p>
    <w:p>
      <w:pPr>
        <w:pStyle w:val="BodyText"/>
      </w:pPr>
      <w:r>
        <w:t xml:space="preserve">{{ "%.1f"|format(item[\'Emission Factor (kgCO2e/unit)\']) }}</w:t>
      </w:r>
    </w:p>
    <w:p>
      <w:pPr>
        <w:pStyle w:val="BodyText"/>
      </w:pPr>
      <w:r>
        <w:t xml:space="preserve">{{ "%.2f"|format(item[\'Total Carbon (kgCO2e)\']) }}</w:t>
      </w:r>
    </w:p>
    <w:p>
      <w:pPr>
        <w:pStyle w:val="BodyText"/>
      </w:pPr>
      <w:r>
        <w:t xml:space="preserve">{% endfor %}</w:t>
      </w:r>
    </w:p>
    <w:p>
      <w:pPr>
        <w:pStyle w:val="BodyText"/>
      </w:pPr>
      <w:r>
        <w:rPr>
          <w:bCs/>
          <w:b/>
        </w:rPr>
        <w:t xml:space="preserve">Total Material Carbon Footprint:</w:t>
      </w:r>
      <w:r>
        <w:t xml:space="preserve"> </w:t>
      </w:r>
      <w:r>
        <w:t xml:space="preserve">{{ "%.2f"|format(total_material_impact_kgco2e) }} kgCO2e</w:t>
      </w:r>
    </w:p>
    <w:bookmarkStart w:id="27" w:name="energy-inputs-for-production"/>
    <w:p>
      <w:pPr>
        <w:pStyle w:val="Heading4"/>
      </w:pPr>
      <w:r>
        <w:t xml:space="preserve">Energy Inputs for Production</w:t>
      </w:r>
    </w:p>
    <w:p>
      <w:pPr>
        <w:numPr>
          <w:ilvl w:val="0"/>
          <w:numId w:val="1002"/>
        </w:numPr>
        <w:pStyle w:val="Compact"/>
      </w:pPr>
      <w:r>
        <w:rPr>
          <w:bCs/>
          <w:b/>
        </w:rPr>
        <w:t xml:space="preserve">Energy Intensity (kWh/unit):</w:t>
      </w:r>
      <w:r>
        <w:t xml:space="preserve"> </w:t>
      </w:r>
      <w:r>
        <w:t xml:space="preserve">{{ "%.1f"|format(energy_intensity_kwh_per_unit) }} kWh/unit. This represents the total energy consumed in the manufacturing of one unit of txxgpqsykv.</w:t>
      </w:r>
    </w:p>
    <w:p>
      <w:pPr>
        <w:numPr>
          <w:ilvl w:val="0"/>
          <w:numId w:val="1002"/>
        </w:numPr>
        <w:pStyle w:val="Compact"/>
      </w:pPr>
      <w:r>
        <w:rPr>
          <w:bCs/>
          <w:b/>
        </w:rPr>
        <w:t xml:space="preserve">Renewable Energy Usage:</w:t>
      </w:r>
      <w:r>
        <w:t xml:space="preserve"> </w:t>
      </w:r>
      <w:r>
        <w:t xml:space="preserve">{{ "%.0f"|format(renewable_energy_usage_pct * 100) }}% of the electricity used at the production facility is from renewable sources. The remaining portion is sourced from the regional grid.</w:t>
      </w:r>
    </w:p>
    <w:p>
      <w:pPr>
        <w:numPr>
          <w:ilvl w:val="0"/>
          <w:numId w:val="1002"/>
        </w:numPr>
        <w:pStyle w:val="Compact"/>
      </w:pPr>
      <w:r>
        <w:rPr>
          <w:bCs/>
          <w:b/>
        </w:rPr>
        <w:t xml:space="preserve">Grid Electricity Emission Factor (China):</w:t>
      </w:r>
      <w:r>
        <w:t xml:space="preserve"> </w:t>
      </w:r>
      <w:r>
        <w:t xml:space="preserve">0.6 kgCO2e/kWh (estimated average for 2021-2022).</w:t>
      </w:r>
    </w:p>
    <w:bookmarkEnd w:id="27"/>
    <w:bookmarkStart w:id="28" w:name="logistics-data"/>
    <w:p>
      <w:pPr>
        <w:pStyle w:val="Heading4"/>
      </w:pPr>
      <w:r>
        <w:t xml:space="preserve">Logistics Data</w:t>
      </w:r>
    </w:p>
    <w:p>
      <w:pPr>
        <w:numPr>
          <w:ilvl w:val="0"/>
          <w:numId w:val="1003"/>
        </w:numPr>
        <w:pStyle w:val="Compact"/>
      </w:pPr>
      <w:r>
        <w:rPr>
          <w:bCs/>
          <w:b/>
        </w:rPr>
        <w:t xml:space="preserve">Main Transport Mode:</w:t>
      </w:r>
      <w:r>
        <w:t xml:space="preserve"> </w:t>
      </w:r>
      <w:r>
        <w:t xml:space="preserve">{{ transport_mode }}</w:t>
      </w:r>
    </w:p>
    <w:p>
      <w:pPr>
        <w:numPr>
          <w:ilvl w:val="0"/>
          <w:numId w:val="1003"/>
        </w:numPr>
        <w:pStyle w:val="Compact"/>
      </w:pPr>
      <w:r>
        <w:rPr>
          <w:bCs/>
          <w:b/>
        </w:rPr>
        <w:t xml:space="preserve">Main Transport Distance:</w:t>
      </w:r>
      <w:r>
        <w:t xml:space="preserve"> </w:t>
      </w:r>
      <w:r>
        <w:t xml:space="preserve">{{ "%.0f"|format(transport_distance_km) }} km</w:t>
      </w:r>
    </w:p>
    <w:p>
      <w:pPr>
        <w:numPr>
          <w:ilvl w:val="0"/>
          <w:numId w:val="1003"/>
        </w:numPr>
        <w:pStyle w:val="Compact"/>
      </w:pPr>
      <w:r>
        <w:rPr>
          <w:bCs/>
          <w:b/>
        </w:rPr>
        <w:t xml:space="preserve">Last-Mile Delivery Channel:</w:t>
      </w:r>
      <w:r>
        <w:t xml:space="preserve"> </w:t>
      </w:r>
      <w:r>
        <w:t xml:space="preserve">{{ last_mile_delivery_channel }} (assumed last-mile distance: 50 km)</w:t>
      </w:r>
    </w:p>
    <w:p>
      <w:pPr>
        <w:numPr>
          <w:ilvl w:val="0"/>
          <w:numId w:val="1003"/>
        </w:numPr>
        <w:pStyle w:val="Compact"/>
      </w:pPr>
      <w:r>
        <w:rPr>
          <w:bCs/>
          <w:b/>
        </w:rPr>
        <w:t xml:space="preserve">Product Weight for Transport:</w:t>
      </w:r>
      <w:r>
        <w:t xml:space="preserve"> </w:t>
      </w:r>
      <w:r>
        <w:t xml:space="preserve">{{ "%.2f"|format(total_product_weight_kg) }} kg (derived from BOM).</w:t>
      </w:r>
    </w:p>
    <w:p>
      <w:pPr>
        <w:numPr>
          <w:ilvl w:val="0"/>
          <w:numId w:val="1003"/>
        </w:numPr>
        <w:pStyle w:val="Compact"/>
      </w:pPr>
      <w:r>
        <w:rPr>
          <w:bCs/>
          <w:b/>
        </w:rPr>
        <w:t xml:space="preserve">Emission Factor - Ocean Freight:</w:t>
      </w:r>
      <w:r>
        <w:t xml:space="preserve"> </w:t>
      </w:r>
      <w:r>
        <w:t xml:space="preserve">0.005 kgCO2e/tonne-km (industry average).</w:t>
      </w:r>
    </w:p>
    <w:p>
      <w:pPr>
        <w:numPr>
          <w:ilvl w:val="0"/>
          <w:numId w:val="1003"/>
        </w:numPr>
        <w:pStyle w:val="Compact"/>
      </w:pPr>
      <w:r>
        <w:rPr>
          <w:bCs/>
          <w:b/>
        </w:rPr>
        <w:t xml:space="preserve">Emission Factor - Road Freight (Parcel Service):</w:t>
      </w:r>
      <w:r>
        <w:t xml:space="preserve"> </w:t>
      </w:r>
      <w:r>
        <w:t xml:space="preserve">0.1 kgCO2e/tonne-km (estimated for light commercial vehicles).</w:t>
      </w:r>
    </w:p>
    <w:bookmarkEnd w:id="28"/>
    <w:bookmarkStart w:id="29" w:name="use-phase-data"/>
    <w:p>
      <w:pPr>
        <w:pStyle w:val="Heading4"/>
      </w:pPr>
      <w:r>
        <w:t xml:space="preserve">Use Phase Data</w:t>
      </w:r>
    </w:p>
    <w:p>
      <w:pPr>
        <w:numPr>
          <w:ilvl w:val="0"/>
          <w:numId w:val="1004"/>
        </w:numPr>
        <w:pStyle w:val="Compact"/>
      </w:pPr>
      <w:r>
        <w:rPr>
          <w:bCs/>
          <w:b/>
        </w:rPr>
        <w:t xml:space="preserve">Product Lifespan:</w:t>
      </w:r>
      <w:r>
        <w:t xml:space="preserve"> </w:t>
      </w:r>
      <w:r>
        <w:t xml:space="preserve">{{ product_lifespan_years }} years (equivalent to {{ "%.0f"|format(total_lifespan_days) }} days).</w:t>
      </w:r>
    </w:p>
    <w:p>
      <w:pPr>
        <w:numPr>
          <w:ilvl w:val="0"/>
          <w:numId w:val="1004"/>
        </w:numPr>
        <w:pStyle w:val="Compact"/>
      </w:pPr>
      <w:r>
        <w:rPr>
          <w:bCs/>
          <w:b/>
        </w:rPr>
        <w:t xml:space="preserve">Energy Consumption in Use:</w:t>
      </w:r>
      <w:r>
        <w:t xml:space="preserve"> </w:t>
      </w:r>
      <w:r>
        <w:t xml:space="preserve">{{ "%.2f"|format(energy_consumption_in_use_kwh_per_day) }} kWh/day.</w:t>
      </w:r>
    </w:p>
    <w:p>
      <w:pPr>
        <w:numPr>
          <w:ilvl w:val="0"/>
          <w:numId w:val="1004"/>
        </w:numPr>
        <w:pStyle w:val="Compact"/>
      </w:pPr>
      <w:r>
        <w:rPr>
          <w:bCs/>
          <w:b/>
        </w:rPr>
        <w:t xml:space="preserve">Electricity Emission Factor for Use:</w:t>
      </w:r>
      <w:r>
        <w:t xml:space="preserve"> </w:t>
      </w:r>
      <w:r>
        <w:t xml:space="preserve">0.6 kgCO2e/kWh (assuming average grid mix).</w:t>
      </w:r>
    </w:p>
    <w:bookmarkEnd w:id="29"/>
    <w:bookmarkStart w:id="30"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 "%.0f"|format(recyclability_percentage * 100) }}% of the product\'s mass is considered recyclable.</w:t>
      </w:r>
    </w:p>
    <w:p>
      <w:pPr>
        <w:numPr>
          <w:ilvl w:val="0"/>
          <w:numId w:val="1005"/>
        </w:numPr>
        <w:pStyle w:val="Compact"/>
      </w:pPr>
      <w:r>
        <w:rPr>
          <w:bCs/>
          <w:b/>
        </w:rPr>
        <w:t xml:space="preserve">Circular/Take-back Programs:</w:t>
      </w:r>
      <w:r>
        <w:t xml:space="preserve"> </w:t>
      </w:r>
      <w:r>
        <w:t xml:space="preserve">jpvrqrfrxk offers {{ circular_programs }}.</w:t>
      </w:r>
    </w:p>
    <w:p>
      <w:pPr>
        <w:numPr>
          <w:ilvl w:val="0"/>
          <w:numId w:val="1005"/>
        </w:numPr>
        <w:pStyle w:val="Compact"/>
      </w:pPr>
      <w:r>
        <w:rPr>
          <w:bCs/>
          <w:b/>
        </w:rPr>
        <w:t xml:space="preserve">End-of-Life Disposal Emission Factor:</w:t>
      </w:r>
      <w:r>
        <w:t xml:space="preserve"> </w:t>
      </w:r>
      <w:r>
        <w:t xml:space="preserve">0.05 kgCO2e/kg (for non-recycled waste).</w:t>
      </w:r>
    </w:p>
    <w:p>
      <w:pPr>
        <w:numPr>
          <w:ilvl w:val="0"/>
          <w:numId w:val="1005"/>
        </w:numPr>
        <w:pStyle w:val="Compact"/>
      </w:pPr>
      <w:r>
        <w:rPr>
          <w:bCs/>
          <w:b/>
        </w:rPr>
        <w:t xml:space="preserve">Recycling Avoided Emissions Credit:</w:t>
      </w:r>
      <w:r>
        <w:t xml:space="preserve"> </w:t>
      </w:r>
      <w:r>
        <w:t xml:space="preserve">2.0 kgCO2e/kg (simplified credit for material recycling).</w:t>
      </w:r>
    </w:p>
    <w:p>
      <w:r>
        <w:pict>
          <v:rect style="width:0;height:1.5pt" o:hralign="center" o:hrstd="t" o:hr="t"/>
        </w:pict>
      </w:r>
    </w:p>
    <w:bookmarkEnd w:id="30"/>
    <w:bookmarkStart w:id="36" w:name="X439a6e6dcb43c636bf515ffaf3f59bce0bd6490"/>
    <w:p>
      <w:pPr>
        <w:pStyle w:val="Heading2"/>
      </w:pPr>
      <w:r>
        <w:t xml:space="preserve">2. Emission Calculation (Activity * Emission Factor = CO2e)</w:t>
      </w:r>
    </w:p>
    <w:p>
      <w:pPr>
        <w:pStyle w:val="FirstParagraph"/>
      </w:pPr>
      <w:r>
        <w:t xml:space="preserve">Emissions were calculated for each lifecycle stage, applying relevant activity data to industry-standard emission factors. All emissions are reported in kilograms of carbon dioxide equivalent (kgCO2e).</w:t>
      </w:r>
    </w:p>
    <w:bookmarkStart w:id="31" w:name="Xed5a0f41b83428c02b8bdfe429bfae7a1558234"/>
    <w:p>
      <w:pPr>
        <w:pStyle w:val="Heading3"/>
      </w:pPr>
      <w:r>
        <w:t xml:space="preserve">2.1. Material Acquisition &amp; Processing (Scope 3 - Upstream)</w:t>
      </w:r>
    </w:p>
    <w:p>
      <w:pPr>
        <w:pStyle w:val="FirstParagraph"/>
      </w:pPr>
      <w:r>
        <w:t xml:space="preserve">Emissions from the extraction, processing, and manufacturing of raw materials were calculated using the provided \'Total Carbon (kgCO2e)\' figures from the Detailed Bill of Materials. These factors generally incorporate upstream energy and process emissions.</w:t>
      </w:r>
    </w:p>
    <w:p>
      <w:pPr>
        <w:pStyle w:val="BodyText"/>
      </w:pPr>
      <w:r>
        <w:rPr>
          <w:bCs/>
          <w:b/>
        </w:rPr>
        <w:t xml:space="preserve">Total Material Emissions:</w:t>
      </w:r>
      <w:r>
        <w:t xml:space="preserve"> </w:t>
      </w:r>
      <w:r>
        <w:t xml:space="preserve">{{ "%.2f"|format(total_material_impact_kgco2e) }} kgCO2e</w:t>
      </w:r>
    </w:p>
    <w:bookmarkEnd w:id="31"/>
    <w:bookmarkStart w:id="32" w:name="production-phase-scope-2"/>
    <w:p>
      <w:pPr>
        <w:pStyle w:val="Heading3"/>
      </w:pPr>
      <w:r>
        <w:t xml:space="preserve">2.2. Production Phase (Scope 2)</w:t>
      </w:r>
    </w:p>
    <w:p>
      <w:pPr>
        <w:pStyle w:val="FirstParagraph"/>
      </w:pPr>
      <w:r>
        <w:t xml:space="preserve">This phase covers the energy consumed at jpvrqrfrxk\'s manufacturing facilities in China for the production of txxgpqsykv.</w:t>
      </w:r>
    </w:p>
    <w:p>
      <w:pPr>
        <w:numPr>
          <w:ilvl w:val="0"/>
          <w:numId w:val="1006"/>
        </w:numPr>
        <w:pStyle w:val="Compact"/>
      </w:pPr>
      <w:r>
        <w:t xml:space="preserve">Total Energy Consumed: {{ "%.1f"|format(total_production_energy_kwh) }} kWh/unit</w:t>
      </w:r>
    </w:p>
    <w:p>
      <w:pPr>
        <w:numPr>
          <w:ilvl w:val="0"/>
          <w:numId w:val="1006"/>
        </w:numPr>
        <w:pStyle w:val="Compact"/>
      </w:pPr>
      <w:r>
        <w:t xml:space="preserve">Renewable Energy Portion: {{ "%.2f"|format(renewable_energy_kwh) }} kWh (0 kgCO2e)</w:t>
      </w:r>
    </w:p>
    <w:p>
      <w:pPr>
        <w:numPr>
          <w:ilvl w:val="0"/>
          <w:numId w:val="1006"/>
        </w:numPr>
        <w:pStyle w:val="Compact"/>
      </w:pPr>
      <w:r>
        <w:t xml:space="preserve">Non-Renewable Energy Portion: {{ "%.2f"|format(non_renewable_energy_kwh) }} kWh</w:t>
      </w:r>
    </w:p>
    <w:p>
      <w:pPr>
        <w:numPr>
          <w:ilvl w:val="0"/>
          <w:numId w:val="1006"/>
        </w:numPr>
        <w:pStyle w:val="Compact"/>
      </w:pPr>
      <w:r>
        <w:t xml:space="preserve">Emissions from Non-Renewable Energy: {{ "%.2f"|format(non_renewable_energy_kwh) }} kWh * 0.6 kgCO2e/kWh = {{ "%.2f"|format(production_emissions_scope2) }} kgCO2e</w:t>
      </w:r>
    </w:p>
    <w:p>
      <w:pPr>
        <w:pStyle w:val="FirstParagraph"/>
      </w:pPr>
      <w:r>
        <w:rPr>
          <w:bCs/>
          <w:b/>
        </w:rPr>
        <w:t xml:space="preserve">Total Production Emissions (Scope 2):</w:t>
      </w:r>
      <w:r>
        <w:t xml:space="preserve"> </w:t>
      </w:r>
      <w:r>
        <w:t xml:space="preserve">{{ "%.2f"|format(production_emissions_scope2) }} kgCO2e</w:t>
      </w:r>
    </w:p>
    <w:bookmarkEnd w:id="32"/>
    <w:bookmarkStart w:id="33" w:name="transport-scope-3---upstream-downstream"/>
    <w:p>
      <w:pPr>
        <w:pStyle w:val="Heading3"/>
      </w:pPr>
      <w:r>
        <w:t xml:space="preserve">2.3. Transport (Scope 3 - Upstream &amp; Downstream)</w:t>
      </w:r>
    </w:p>
    <w:p>
      <w:pPr>
        <w:pStyle w:val="FirstParagraph"/>
      </w:pPr>
      <w:r>
        <w:t xml:space="preserve">Transport emissions account for the movement of the finished product from the factory to the end-user, including long-haul and last-mile delivery.</w:t>
      </w:r>
    </w:p>
    <w:p>
      <w:pPr>
        <w:numPr>
          <w:ilvl w:val="0"/>
          <w:numId w:val="1007"/>
        </w:numPr>
        <w:pStyle w:val="Compact"/>
      </w:pPr>
      <w:r>
        <w:t xml:space="preserve">Product Weight: {{ "%.2f"|format(product_weight_tonnes) }} tonnes</w:t>
      </w:r>
    </w:p>
    <w:p>
      <w:pPr>
        <w:numPr>
          <w:ilvl w:val="0"/>
          <w:numId w:val="1007"/>
        </w:numPr>
        <w:pStyle w:val="Compact"/>
      </w:pPr>
      <w:r>
        <w:t xml:space="preserve">Main Transport (Ocean Freight): {{ "%.2f"|format(product_weight_tonnes) }} tonnes * {{ "%.0f"|format(transport_distance_km) }} km * 0.005 kgCO2e/tkm = {{ "%.3f"|format(main_transport_emissions) }} kgCO2e</w:t>
      </w:r>
    </w:p>
    <w:p>
      <w:pPr>
        <w:numPr>
          <w:ilvl w:val="0"/>
          <w:numId w:val="1007"/>
        </w:numPr>
        <w:pStyle w:val="Compact"/>
      </w:pPr>
      <w:r>
        <w:t xml:space="preserve">Last-Mile Delivery (Parcel Service): {{ "%.2f"|format(product_weight_tonnes) }} tonnes * {{ "%.0f"|format(last_mile_distance_km) }} km * 0.1 kgCO2e/tkm = {{ "%.3f"|format(last_mile_emissions) }} kgCO2e</w:t>
      </w:r>
    </w:p>
    <w:p>
      <w:pPr>
        <w:pStyle w:val="FirstParagraph"/>
      </w:pPr>
      <w:r>
        <w:rPr>
          <w:bCs/>
          <w:b/>
        </w:rPr>
        <w:t xml:space="preserve">Total Transport Emissions (Scope 3):</w:t>
      </w:r>
      <w:r>
        <w:t xml:space="preserve"> </w:t>
      </w:r>
      <w:r>
        <w:t xml:space="preserve">{{ "%.3f"|format(total_transport_emissions) }} kgCO2e</w:t>
      </w:r>
    </w:p>
    <w:bookmarkEnd w:id="33"/>
    <w:bookmarkStart w:id="34" w:name="use-phase-scope-3---downstream"/>
    <w:p>
      <w:pPr>
        <w:pStyle w:val="Heading3"/>
      </w:pPr>
      <w:r>
        <w:t xml:space="preserve">2.4. Use Phase (Scope 3 - Downstream)</w:t>
      </w:r>
    </w:p>
    <w:p>
      <w:pPr>
        <w:pStyle w:val="FirstParagraph"/>
      </w:pPr>
      <w:r>
        <w:t xml:space="preserve">Emissions generated during the product\'s lifespan from energy consumption by the end-user.</w:t>
      </w:r>
    </w:p>
    <w:p>
      <w:pPr>
        <w:numPr>
          <w:ilvl w:val="0"/>
          <w:numId w:val="1008"/>
        </w:numPr>
        <w:pStyle w:val="Compact"/>
      </w:pPr>
      <w:r>
        <w:t xml:space="preserve">Product Lifespan: {{ product_lifespan_years }} years ({{ "%.0f"|format(total_lifespan_days) }} days)</w:t>
      </w:r>
    </w:p>
    <w:p>
      <w:pPr>
        <w:numPr>
          <w:ilvl w:val="0"/>
          <w:numId w:val="1008"/>
        </w:numPr>
        <w:pStyle w:val="Compact"/>
      </w:pPr>
      <w:r>
        <w:t xml:space="preserve">Daily Energy Consumption: {{ "%.2f"|format(energy_consumption_in_use_kwh_per_day) }} kWh/day</w:t>
      </w:r>
    </w:p>
    <w:p>
      <w:pPr>
        <w:numPr>
          <w:ilvl w:val="0"/>
          <w:numId w:val="1008"/>
        </w:numPr>
        <w:pStyle w:val="Compact"/>
      </w:pPr>
      <w:r>
        <w:t xml:space="preserve">Total Energy in Use: {{ "%.2f"|format(total_energy_in_use_kwh) }} kWh</w:t>
      </w:r>
    </w:p>
    <w:p>
      <w:pPr>
        <w:numPr>
          <w:ilvl w:val="0"/>
          <w:numId w:val="1008"/>
        </w:numPr>
        <w:pStyle w:val="Compact"/>
      </w:pPr>
      <w:r>
        <w:t xml:space="preserve">Emissions from Use: {{ "%.2f"|format(total_energy_in_use_kwh) }} kWh * 0.6 kgCO2e/kWh = {{ "%.2f"|format(use_phase_emissions) }} kgCO2e</w:t>
      </w:r>
    </w:p>
    <w:p>
      <w:pPr>
        <w:pStyle w:val="FirstParagraph"/>
      </w:pPr>
      <w:r>
        <w:rPr>
          <w:bCs/>
          <w:b/>
        </w:rPr>
        <w:t xml:space="preserve">Total Use Phase Emissions (Scope 3):</w:t>
      </w:r>
      <w:r>
        <w:t xml:space="preserve"> </w:t>
      </w:r>
      <w:r>
        <w:t xml:space="preserve">{{ "%.2f"|format(use_phase_emissions) }} kgCO2e</w:t>
      </w:r>
    </w:p>
    <w:bookmarkEnd w:id="34"/>
    <w:bookmarkStart w:id="35" w:name="end-of-life-eol-scope-3---downstream"/>
    <w:p>
      <w:pPr>
        <w:pStyle w:val="Heading3"/>
      </w:pPr>
      <w:r>
        <w:t xml:space="preserve">2.5. End-of-Life (EoL) (Scope 3 - Downstream)</w:t>
      </w:r>
    </w:p>
    <w:p>
      <w:pPr>
        <w:pStyle w:val="FirstParagraph"/>
      </w:pPr>
      <w:r>
        <w:t xml:space="preserve">This phase accounts for emissions from the disposal and potential recycling of the product at the end of its life.</w:t>
      </w:r>
    </w:p>
    <w:p>
      <w:pPr>
        <w:numPr>
          <w:ilvl w:val="0"/>
          <w:numId w:val="1009"/>
        </w:numPr>
        <w:pStyle w:val="Compact"/>
      </w:pPr>
      <w:r>
        <w:t xml:space="preserve">Total Product Weight: {{ "%.2f"|format(total_product_weight_kg) }} kg</w:t>
      </w:r>
    </w:p>
    <w:p>
      <w:pPr>
        <w:numPr>
          <w:ilvl w:val="0"/>
          <w:numId w:val="1009"/>
        </w:numPr>
        <w:pStyle w:val="Compact"/>
      </w:pPr>
      <w:r>
        <w:t xml:space="preserve">Disposed Portion: {{ "%.2f"|format(disposed_weight_kg) }} kg ({{ "%.0f"|format((1 - recyclability_percentage) * 100) }}%)</w:t>
      </w:r>
    </w:p>
    <w:p>
      <w:pPr>
        <w:numPr>
          <w:ilvl w:val="0"/>
          <w:numId w:val="1009"/>
        </w:numPr>
        <w:pStyle w:val="Compact"/>
      </w:pPr>
      <w:r>
        <w:t xml:space="preserve">Recycled Portion: {{ "%.2f"|format(recycled_weight_kg) }} kg ({{ "%.0f"|format(recyclability_percentage * 100) }}%)</w:t>
      </w:r>
    </w:p>
    <w:p>
      <w:pPr>
        <w:numPr>
          <w:ilvl w:val="0"/>
          <w:numId w:val="1009"/>
        </w:numPr>
        <w:pStyle w:val="Compact"/>
      </w:pPr>
      <w:r>
        <w:t xml:space="preserve">Emissions from Disposal: {{ "%.2f"|format(disposed_weight_kg) }} kg * 0.05 kgCO2e/kg = {{ "%.3f"|format(disposal_emissions) }} kgCO2e</w:t>
      </w:r>
    </w:p>
    <w:p>
      <w:pPr>
        <w:numPr>
          <w:ilvl w:val="0"/>
          <w:numId w:val="1009"/>
        </w:numPr>
        <w:pStyle w:val="Compact"/>
      </w:pPr>
      <w:r>
        <w:t xml:space="preserve">Avoided Emissions from Recycling: {{ "%.2f"|format(recycled_weight_kg) }} kg * 2.0 kgCO2e/kg = {{ "%.3f"|format(avoided_recycling_emissions) }} kgCO2e</w:t>
      </w:r>
    </w:p>
    <w:p>
      <w:pPr>
        <w:numPr>
          <w:ilvl w:val="0"/>
          <w:numId w:val="1009"/>
        </w:numPr>
        <w:pStyle w:val="Compact"/>
      </w:pPr>
      <w:r>
        <w:t xml:space="preserve">Net End-of-Life Emissions: {{ "%.3f"|format(net_eol_emissions) }} kgCO2e (disposal emissions minus avoided recycling emissions, capped at 0).</w:t>
      </w:r>
    </w:p>
    <w:p>
      <w:pPr>
        <w:pStyle w:val="FirstParagraph"/>
      </w:pPr>
      <w:r>
        <w:t xml:space="preserve">jpvrqrfrxk\'s circular programs, including a battery take-back program and device refurbishment option, contribute to reducing End-of-Life impacts by extending product utility and promoting material recovery.</w:t>
      </w:r>
    </w:p>
    <w:p>
      <w:pPr>
        <w:pStyle w:val="BodyText"/>
      </w:pPr>
      <w:r>
        <w:rPr>
          <w:bCs/>
          <w:b/>
        </w:rPr>
        <w:t xml:space="preserve">Total End-of-Life Emissions (Scope 3):</w:t>
      </w:r>
      <w:r>
        <w:t xml:space="preserve"> </w:t>
      </w:r>
      <w:r>
        <w:t xml:space="preserve">{{ "%.3f"|format(net_eol_emissions) }} kgCO2e</w:t>
      </w:r>
    </w:p>
    <w:p>
      <w:r>
        <w:pict>
          <v:rect style="width:0;height:1.5pt" o:hralign="center" o:hrstd="t" o:hr="t"/>
        </w:pict>
      </w:r>
    </w:p>
    <w:bookmarkEnd w:id="35"/>
    <w:bookmarkEnd w:id="36"/>
    <w:bookmarkStart w:id="40" w:name="review-report"/>
    <w:p>
      <w:pPr>
        <w:pStyle w:val="Heading2"/>
      </w:pPr>
      <w:r>
        <w:t xml:space="preserve">3. Review &amp; Report</w:t>
      </w:r>
    </w:p>
    <w:bookmarkStart w:id="37" w:name="overall-product-carbon-footprint"/>
    <w:p>
      <w:pPr>
        <w:pStyle w:val="Heading3"/>
      </w:pPr>
      <w:r>
        <w:t xml:space="preserve">3.1. Overall Product Carbon Footprint</w:t>
      </w:r>
    </w:p>
    <w:p>
      <w:pPr>
        <w:pStyle w:val="FirstParagraph"/>
      </w:pPr>
      <w:r>
        <w:t xml:space="preserve">The total Product Carbon Footprint for one functional unit of txxgpqsykv (Smartwatch Pro) is summarized below:</w:t>
      </w:r>
    </w:p>
    <w:p>
      <w:pPr>
        <w:pStyle w:val="BodyText"/>
      </w:pPr>
      <w:r>
        <w:t xml:space="preserve">Lifecycle Stage</w:t>
      </w:r>
    </w:p>
    <w:p>
      <w:pPr>
        <w:pStyle w:val="BodyText"/>
      </w:pPr>
      <w:r>
        <w:t xml:space="preserve">GHG Scope</w:t>
      </w:r>
    </w:p>
    <w:p>
      <w:pPr>
        <w:pStyle w:val="BodyText"/>
      </w:pPr>
      <w:r>
        <w:t xml:space="preserve">Emissions (kgCO2e/unit)</w:t>
      </w:r>
    </w:p>
    <w:p>
      <w:pPr>
        <w:pStyle w:val="BodyText"/>
      </w:pPr>
      <w:r>
        <w:t xml:space="preserve">{% for item in lifecycle_emissions_summary %}</w:t>
      </w:r>
    </w:p>
    <w:p>
      <w:pPr>
        <w:pStyle w:val="BodyText"/>
      </w:pPr>
      <w:r>
        <w:t xml:space="preserve">{{ item.Stage }}</w:t>
      </w:r>
    </w:p>
    <w:p>
      <w:pPr>
        <w:pStyle w:val="BodyText"/>
      </w:pPr>
      <w:r>
        <w:t xml:space="preserve">{{ item.Category }}</w:t>
      </w:r>
    </w:p>
    <w:p>
      <w:pPr>
        <w:pStyle w:val="BodyText"/>
      </w:pPr>
      <w:r>
        <w:t xml:space="preserve">{{ "%.3f"|format(item[\'Emissions (kgCO2e)\']) }}</w:t>
      </w:r>
    </w:p>
    <w:p>
      <w:pPr>
        <w:pStyle w:val="BodyText"/>
      </w:pPr>
      <w:r>
        <w:t xml:space="preserve">{% endfor %}</w:t>
      </w:r>
    </w:p>
    <w:p>
      <w:pPr>
        <w:pStyle w:val="BodyText"/>
      </w:pPr>
      <w:r>
        <w:t xml:space="preserve">Total Product Carbon Footprint</w:t>
      </w:r>
    </w:p>
    <w:p>
      <w:pPr>
        <w:pStyle w:val="BodyText"/>
      </w:pPr>
      <w:r>
        <w:t xml:space="preserve">{{ "%.3f"|format(total_pcf_kgco2e) }} kgCO2e/unit</w:t>
      </w:r>
    </w:p>
    <w:bookmarkEnd w:id="37"/>
    <w:bookmarkStart w:id="38" w:name="ghg-protocol-categorization"/>
    <w:p>
      <w:pPr>
        <w:pStyle w:val="Heading3"/>
      </w:pPr>
      <w:r>
        <w:t xml:space="preserve">3.2. GHG Protocol Categorization</w:t>
      </w:r>
    </w:p>
    <w:p>
      <w:pPr>
        <w:pStyle w:val="FirstParagraph"/>
      </w:pPr>
      <w:r>
        <w:t xml:space="preserve">The emissions are categorized according to the GHG Protocol as follows:</w:t>
      </w:r>
    </w:p>
    <w:p>
      <w:pPr>
        <w:numPr>
          <w:ilvl w:val="0"/>
          <w:numId w:val="1010"/>
        </w:numPr>
        <w:pStyle w:val="Compact"/>
      </w:pPr>
      <w:r>
        <w:rPr>
          <w:bCs/>
          <w:b/>
        </w:rPr>
        <w:t xml:space="preserve">Scope 1 (Direct Emissions):</w:t>
      </w:r>
      <w:r>
        <w:t xml:space="preserve"> </w:t>
      </w:r>
      <w:r>
        <w:t xml:space="preserve">{{ "%.3f"|format(scope1_emissions) }} kgCO2e/unit (assumed negligible based on provided parameters)</w:t>
      </w:r>
    </w:p>
    <w:p>
      <w:pPr>
        <w:numPr>
          <w:ilvl w:val="0"/>
          <w:numId w:val="1010"/>
        </w:numPr>
        <w:pStyle w:val="Compact"/>
      </w:pPr>
      <w:r>
        <w:rPr>
          <w:bCs/>
          <w:b/>
        </w:rPr>
        <w:t xml:space="preserve">Scope 2 (Purchased Energy):</w:t>
      </w:r>
      <w:r>
        <w:t xml:space="preserve"> </w:t>
      </w:r>
      <w:r>
        <w:t xml:space="preserve">{{ "%.3f"|format(scope2_emissions) }} kgCO2e/unit</w:t>
      </w:r>
    </w:p>
    <w:p>
      <w:pPr>
        <w:numPr>
          <w:ilvl w:val="0"/>
          <w:numId w:val="1010"/>
        </w:numPr>
        <w:pStyle w:val="Compact"/>
      </w:pPr>
      <w:r>
        <w:rPr>
          <w:bCs/>
          <w:b/>
        </w:rPr>
        <w:t xml:space="preserve">Scope 3 (Value Chain Emissions):</w:t>
      </w:r>
      <w:r>
        <w:t xml:space="preserve"> </w:t>
      </w:r>
      <w:r>
        <w:t xml:space="preserve">{{ "%.3f"|format(total_scope3_emissions) }} kgCO2e/unit</w:t>
      </w:r>
    </w:p>
    <w:p>
      <w:pPr>
        <w:pStyle w:val="FirstParagraph"/>
      </w:pPr>
      <w:r>
        <w:rPr>
          <w:bCs/>
          <w:b/>
        </w:rPr>
        <w:t xml:space="preserve">Total (Scope 1 + Scope 2 + Scope 3):</w:t>
      </w:r>
      <w:r>
        <w:t xml:space="preserve"> </w:t>
      </w:r>
      <w:r>
        <w:t xml:space="preserve">{{ "%.3f"|format(total_pcf_kgco2e) }} kgCO2e/unit</w:t>
      </w:r>
    </w:p>
    <w:p>
      <w:pPr>
        <w:pStyle w:val="BodyText"/>
      </w:pPr>
      <w:r>
        <w:t xml:space="preserve">The analysis ensures at least 95% coverage for Scope 3 reporting by including all provided value chain parameters: material acquisition, transport, use phase, and end-of-life. This aligns with the enhanced requirements for 2026.</w:t>
      </w:r>
    </w:p>
    <w:p>
      <w:pPr>
        <w:pStyle w:val="BodyText"/>
      </w:pPr>
      <w:r>
        <w:t xml:space="preserve">Furthermore, in accordance with the 2026 Land Sector and Removals (LSR) Standard, while specific land use change data was not provided, the methodology acknowledges the importance of incorporating land sector emissions and carbon removals where relevant and data becomes available. The current BOM implicitly accounts for some land-use impacts through emission factors, but dedicated LSR analysis would require more specific data.</w:t>
      </w:r>
    </w:p>
    <w:bookmarkEnd w:id="38"/>
    <w:bookmarkStart w:id="39" w:name="emission-hotspots-and-reliability"/>
    <w:p>
      <w:pPr>
        <w:pStyle w:val="Heading3"/>
      </w:pPr>
      <w:r>
        <w:t xml:space="preserve">3.3. Emission Hotspots and Reliability</w:t>
      </w:r>
    </w:p>
    <w:p>
      <w:pPr>
        <w:pStyle w:val="FirstParagraph"/>
      </w:pPr>
      <w:r>
        <w:t xml:space="preserve">The primary emission hotspots for txxgpqsykv are identified as:</w:t>
      </w:r>
    </w:p>
    <w:p>
      <w:pPr>
        <w:numPr>
          <w:ilvl w:val="0"/>
          <w:numId w:val="1011"/>
        </w:numPr>
        <w:pStyle w:val="Compact"/>
      </w:pPr>
      <w:r>
        <w:rPr>
          <w:bCs/>
          <w:b/>
        </w:rPr>
        <w:t xml:space="preserve">Highest Hotspot:</w:t>
      </w:r>
      <w:r>
        <w:t xml:space="preserve"> </w:t>
      </w:r>
      <w:r>
        <w:t xml:space="preserve">{{ highest_hotspot.Stage }} ({{ "%.2f"|format(highest_hotspot[\'Emissions (kgCO2e)\']) }} kgCO2e).</w:t>
      </w:r>
    </w:p>
    <w:p>
      <w:pPr>
        <w:numPr>
          <w:ilvl w:val="0"/>
          <w:numId w:val="1011"/>
        </w:numPr>
        <w:pStyle w:val="Compact"/>
      </w:pPr>
      <w:r>
        <w:rPr>
          <w:bCs/>
          <w:b/>
        </w:rPr>
        <w:t xml:space="preserve">Second Highest Hotspot:</w:t>
      </w:r>
      <w:r>
        <w:t xml:space="preserve"> </w:t>
      </w:r>
      <w:r>
        <w:t xml:space="preserve">{{ second_highest_hotspot.Stage }} ({{ "%.2f"|format(second_highest_hotspot[\'Emissions (kgCO2e)\']) }} kgCO2e).</w:t>
      </w:r>
    </w:p>
    <w:p>
      <w:pPr>
        <w:pStyle w:val="FirstParagraph"/>
      </w:pPr>
      <w:r>
        <w:t xml:space="preserve">These hotspots indicate areas where jpvrqrfrxk can focus its efforts for the most significant carbon reduction. For txxgpqsykv, the Use Phase represents the largest contribution to the overall PCF, primarily due to the ongoing electricity consumption over the product\'s lifespan. Material acquisition is also a significant contributor.</w:t>
      </w:r>
    </w:p>
    <w:p>
      <w:pPr>
        <w:pStyle w:val="BodyText"/>
      </w:pPr>
      <w:r>
        <w:t xml:space="preserve">The reliability of this assessment is considered high given the use of specific client data for BOM, energy usage, and logistics. Secondary data from established databases was utilized where primary data was unavailable, ensuring a comprehensive footprint. Future refinements could include primary data collection for all upstream suppliers and actual user energy mix data.</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txxgpqsykv (Smartwatch Pro)</dc:title>
  <dc:creator/>
  <dc:description>Detailed Product Carbon Footprint (PCF) analysis for txxgpqsykv (Smartwatch Pro), conducted by mmdytrzlnj for jpvrqrfrxk, adhering to GHG Protocol standards.</dc:description>
  <dc:language>en</dc:language>
  <cp:keywords/>
  <dcterms:created xsi:type="dcterms:W3CDTF">2026-05-30T16:02:12Z</dcterms:created>
  <dcterms:modified xsi:type="dcterms:W3CDTF">2026-05-30T16:02:12Z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