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tuynfvkhnd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tuynfvkhnd</w:t>
      </w:r>
    </w:p>
    <w:p>
      <w:pPr>
        <w:pStyle w:val="BodyText"/>
      </w:pPr>
      <w:r>
        <w:rPr>
          <w:bCs/>
          <w:b/>
        </w:rPr>
        <w:t xml:space="preserve">Company Name:</w:t>
      </w:r>
      <w:r>
        <w:t xml:space="preserve"> </w:t>
      </w:r>
      <w:r>
        <w:t xml:space="preserve">ropqhkjwyi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hsvjnzsfmj</w:t>
      </w:r>
    </w:p>
    <w:p>
      <w:pPr>
        <w:pStyle w:val="BodyText"/>
      </w:pPr>
      <w:r>
        <w:t xml:space="preserve">Disclaimer: This report is generated based on available data and industry standards. While efforts have been made to ensure accuracy, the actual environmental impact may vary depending on real-world conditions and data availability. Illustrative data has been used where specific numerical inputs were provided as placeholder strings.</w:t>
      </w:r>
    </w:p>
    <w:bookmarkEnd w:id="20"/>
    <w:bookmarkStart w:id="21" w:name="Xe342361456822feff74969db37daf8a91b79410"/>
    <w:p>
      <w:pPr>
        <w:pStyle w:val="Heading1"/>
      </w:pPr>
      <w:r>
        <w:t xml:space="preserve">Product Carbon Footprint Analysis Report: tuynfvkhnd</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tuynfvkhnd, manufactured by ropqhkjwyi. The analysis was conducted by hsvjnzsfmj, a Senior Sustainability Consultant specializing in the GHG Protocol. This PCF analysis adheres strictly to the GHG Protocol\'s methodologies, including the 2026 Land Sector and Removals (LSR) Standard update and aims for at least 95% Scope 3 coverage. The report identifies key emission hotspots across the product\'s lifecycle, from raw material extraction and manufacturing to the use phase and end-of-life scenarios, providing ropqhkjwyi with actionable insights for emissions reduction.</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The scope of this Product Carbon Footprint (PCF) analysis for tuynfvkhnd is defined as follows, adhering to the GHG Protocol as the primary accounting standard.</w:t>
      </w:r>
    </w:p>
    <w:p>
      <w:pPr>
        <w:numPr>
          <w:ilvl w:val="0"/>
          <w:numId w:val="1001"/>
        </w:numPr>
        <w:pStyle w:val="Compact"/>
      </w:pPr>
      <w:r>
        <w:rPr>
          <w:bCs/>
          <w:b/>
        </w:rPr>
        <w:t xml:space="preserve">Functional Unit:</w:t>
      </w:r>
      <w:r>
        <w:t xml:space="preserve"> </w:t>
      </w:r>
      <w:r>
        <w:t xml:space="preserve">The functional unit for this analysis is defined as 1.0 unit of tuynfvkhnd. This unit serves as the reference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The system boundary adopted is "factory_gate." This boundary encompasses all processes from raw material extraction (cradle) up to the point where the finished product leaves the factory gate, as well as downstream emissions from transport, use, and end-of-life.</w:t>
      </w:r>
    </w:p>
    <w:p>
      <w:pPr>
        <w:numPr>
          <w:ilvl w:val="0"/>
          <w:numId w:val="1001"/>
        </w:numPr>
        <w:pStyle w:val="Compact"/>
      </w:pPr>
      <w:r>
        <w:rPr>
          <w:bCs/>
          <w:b/>
        </w:rPr>
        <w:t xml:space="preserve">Geographic Scope:</w:t>
      </w:r>
      <w:r>
        <w:t xml:space="preserve"> </w:t>
      </w:r>
      <w:r>
        <w:t xml:space="preserve">The final production country is China, with a supply chain focus on Europe. This informs the selection of region-specific emission factors where available.</w:t>
      </w:r>
    </w:p>
    <w:p>
      <w:pPr>
        <w:numPr>
          <w:ilvl w:val="0"/>
          <w:numId w:val="1001"/>
        </w:numPr>
        <w:pStyle w:val="Compact"/>
      </w:pPr>
      <w:r>
        <w:rPr>
          <w:bCs/>
          <w:b/>
        </w:rPr>
        <w:t xml:space="preserve">Allocation:</w:t>
      </w:r>
      <w:r>
        <w:t xml:space="preserve"> </w:t>
      </w:r>
      <w:r>
        <w:t xml:space="preserve">Where co-products or waste materials are generated, allocation methodologies consistent with GHG Protocol principles are applied. Economic allocation is prioritized, followed by mass or energy allocation if economic data is unavailable or inappropriate.</w:t>
      </w:r>
    </w:p>
    <w:p>
      <w:pPr>
        <w:numPr>
          <w:ilvl w:val="0"/>
          <w:numId w:val="1001"/>
        </w:numPr>
        <w:pStyle w:val="Compact"/>
      </w:pPr>
      <w:r>
        <w:rPr>
          <w:bCs/>
          <w:b/>
        </w:rPr>
        <w:t xml:space="preserve">Accounting Standard:</w:t>
      </w:r>
      <w:r>
        <w:t xml:space="preserve"> </w:t>
      </w:r>
      <w:r>
        <w:t xml:space="preserve">The entire analysis is performed in strict adherence to the</w:t>
      </w:r>
      <w:r>
        <w:t xml:space="preserve"> </w:t>
      </w:r>
      <w:r>
        <w:rPr>
          <w:bCs/>
          <w:b/>
        </w:rPr>
        <w:t xml:space="preserve">GHG Protocol</w:t>
      </w:r>
      <w:r>
        <w:t xml:space="preserve">, ensuring comprehensive and consistent reporting of greenhouse gas emissions. The Land Sector and Removals (LSR) Standard for land use and carbon removals, updated for 2026, has also been applied.</w:t>
      </w:r>
    </w:p>
    <w:p>
      <w:r>
        <w:pict>
          <v:rect style="width:0;height:1.5pt" o:hralign="center" o:hrstd="t" o:hr="t"/>
        </w:pict>
      </w:r>
    </w:p>
    <w:bookmarkEnd w:id="23"/>
    <w:bookmarkStart w:id="30" w:name="Xfb19d101eca9f89879e43a035837baa721eebe8"/>
    <w:p>
      <w:pPr>
        <w:pStyle w:val="Heading2"/>
      </w:pPr>
      <w:r>
        <w:t xml:space="preserve">2. &amp; 3. Lifecycle Inventory Mapping and Data Collection</w:t>
      </w:r>
    </w:p>
    <w:p>
      <w:pPr>
        <w:pStyle w:val="FirstParagraph"/>
      </w:pPr>
      <w:r>
        <w:t xml:space="preserve">This section details the lifecycle stages and the data collected for the PCF analysis of tuynfvkhnd. Emissions are categorized into Scope 1 (direct emissions), Scope 2 (purchased energy), and Scope 3 (value chain emissions), following GHG Protocol requirements. Special attention has been paid to ensuring at least 95% coverage for Scope 3 reporting, in line with 2026 requirements.</w:t>
      </w:r>
    </w:p>
    <w:bookmarkStart w:id="25" w:name="X1198c8af25dd1a2ebffa686809674f976343a37"/>
    <w:p>
      <w:pPr>
        <w:pStyle w:val="Heading3"/>
      </w:pPr>
      <w:r>
        <w:t xml:space="preserve">2.1. Material Acquisition &amp; Pre-processing (Scope 3 - Upstream)</w:t>
      </w:r>
    </w:p>
    <w:p>
      <w:pPr>
        <w:pStyle w:val="FirstParagraph"/>
      </w:pPr>
      <w:r>
        <w:t xml:space="preserve">The material inputs are crucial for determining the upstream impact. The Detailed Bill of Materials (BOM) provided, referenced as</w:t>
      </w:r>
      <w:r>
        <w:t xml:space="preserve"> </w:t>
      </w:r>
      <w:r>
        <w:rPr>
          <w:bCs/>
          <w:b/>
        </w:rPr>
        <w:t xml:space="preserve">ovqjohlv</w:t>
      </w:r>
      <w:r>
        <w:t xml:space="preserve">, forms the basis for this section. For the purpose of demonstrating calculation methodology, and as</w:t>
      </w:r>
      <w:r>
        <w:t xml:space="preserve"> </w:t>
      </w:r>
      <w:r>
        <w:rPr>
          <w:bCs/>
          <w:b/>
        </w:rPr>
        <w:t xml:space="preserve">ovqjohlv</w:t>
      </w:r>
      <w:r>
        <w:t xml:space="preserve"> </w:t>
      </w:r>
      <w:r>
        <w:t xml:space="preserve">is a string placeholder for actual structured data, illustrative material data following the specified format (ID, Description, Category, Process, Qty, Unit, Emission Factor, Total Carbon) is used to exemplify the calculations.</w:t>
      </w:r>
    </w:p>
    <w:bookmarkStart w:id="24" w:name="Xd73ec312b831d1ea48e4c79865b6b1d363aab2a"/>
    <w:p>
      <w:pPr>
        <w:pStyle w:val="Heading4"/>
      </w:pPr>
      <w:r>
        <w:t xml:space="preserve">Illustrative Detailed Bill of Materials (BOM) for tuynfvkhnd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M001</w:t>
            </w:r>
          </w:p>
        </w:tc>
        <w:tc>
          <w:tcPr/>
          <w:p>
            <w:pPr>
              <w:pStyle w:val="Compact"/>
              <w:jc w:val="left"/>
            </w:pPr>
            <w:r>
              <w:t xml:space="preserve">Recycled Aluminum Sheet</w:t>
            </w:r>
          </w:p>
        </w:tc>
        <w:tc>
          <w:tcPr/>
          <w:p>
            <w:pPr>
              <w:pStyle w:val="Compact"/>
              <w:jc w:val="left"/>
            </w:pPr>
            <w:r>
              <w:t xml:space="preserve">Metal</w:t>
            </w:r>
          </w:p>
        </w:tc>
        <w:tc>
          <w:tcPr/>
          <w:p>
            <w:pPr>
              <w:pStyle w:val="Compact"/>
              <w:jc w:val="left"/>
            </w:pPr>
            <w:r>
              <w:t xml:space="preserve">Primary Production, Rolling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Polymer</w:t>
            </w:r>
          </w:p>
        </w:tc>
        <w:tc>
          <w:tcPr/>
          <w:p>
            <w:pPr>
              <w:pStyle w:val="Compact"/>
              <w:jc w:val="left"/>
            </w:pPr>
            <w:r>
              <w:t xml:space="preserve">Polymerization,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Mining,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Wafer Production,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p>
      <w:pPr>
        <w:pStyle w:val="BodyText"/>
      </w:pPr>
      <w:r>
        <w:rPr>
          <w:iCs/>
          <w:i/>
        </w:rPr>
        <w:t xml:space="preserve">Note: The "Illustrative Emission Factor" and "Illustrative Total Carbon" values are provided as examples of how calculations would be performed if the BOM string \'ovqjohlv\' contained structured, parseable data. Actual calculations would use the specific emission factors provided within the actual BOM.</w:t>
      </w:r>
    </w:p>
    <w:bookmarkEnd w:id="24"/>
    <w:bookmarkEnd w:id="25"/>
    <w:bookmarkStart w:id="26" w:name="production-phase-scope-1-2"/>
    <w:p>
      <w:pPr>
        <w:pStyle w:val="Heading3"/>
      </w:pPr>
      <w:r>
        <w:t xml:space="preserve">2.2. Production Phase (Scope 1 &amp; 2)</w:t>
      </w:r>
    </w:p>
    <w:p>
      <w:pPr>
        <w:pStyle w:val="FirstParagraph"/>
      </w:pPr>
      <w:r>
        <w:t xml:space="preserve">This phase covers the energy consumption during the manufacturing process of tuynfvkhnd at the factory gate in China.</w:t>
      </w:r>
    </w:p>
    <w:p>
      <w:pPr>
        <w:numPr>
          <w:ilvl w:val="0"/>
          <w:numId w:val="1002"/>
        </w:numPr>
        <w:pStyle w:val="Compact"/>
      </w:pPr>
      <w:r>
        <w:rPr>
          <w:bCs/>
          <w:b/>
        </w:rPr>
        <w:t xml:space="preserve">Renewable Energy Usage:</w:t>
      </w:r>
      <w:r>
        <w:t xml:space="preserve"> </w:t>
      </w:r>
      <w:r>
        <w:t xml:space="preserve">The facility utilizes</w:t>
      </w:r>
      <w:r>
        <w:t xml:space="preserve"> </w:t>
      </w:r>
      <w:r>
        <w:rPr>
          <w:bCs/>
          <w:b/>
        </w:rPr>
        <w:t xml:space="preserve">pkxuxvsssp</w:t>
      </w:r>
      <w:r>
        <w:t xml:space="preserve"> </w:t>
      </w:r>
      <w:r>
        <w:t xml:space="preserve">renewable energy. If pkxuxvsssp is a percentage, this indicates the proportion of electricity sourced from renewable origins (e.g., on-site renewables or renewable energy contracts). For calculation purposes, if pkxuxvsssp is 70%, 70% of electricity is assumed to have zero Scope 2 emissions, and 30% is based on the grid mix.</w:t>
      </w:r>
    </w:p>
    <w:p>
      <w:pPr>
        <w:numPr>
          <w:ilvl w:val="0"/>
          <w:numId w:val="1002"/>
        </w:numPr>
        <w:pStyle w:val="Compact"/>
      </w:pPr>
      <w:r>
        <w:rPr>
          <w:bCs/>
          <w:b/>
        </w:rPr>
        <w:t xml:space="preserve">Energy Intensity (kWh/unit):</w:t>
      </w:r>
      <w:r>
        <w:t xml:space="preserve"> </w:t>
      </w:r>
      <w:r>
        <w:t xml:space="preserve">The energy intensity for producing one unit of tuynfvkhnd is</w:t>
      </w:r>
      <w:r>
        <w:t xml:space="preserve"> </w:t>
      </w:r>
      <w:r>
        <w:rPr>
          <w:bCs/>
          <w:b/>
        </w:rPr>
        <w:t xml:space="preserve">mzmqxkfvpl</w:t>
      </w:r>
      <w:r>
        <w:t xml:space="preserve"> </w:t>
      </w:r>
      <w:r>
        <w:t xml:space="preserve">kWh/unit. This value is critical for calculating the energy-related emissions. For illustrative calculation, we assume mzmqxkfvpl = 15 kWh/unit.</w:t>
      </w:r>
    </w:p>
    <w:p>
      <w:pPr>
        <w:numPr>
          <w:ilvl w:val="0"/>
          <w:numId w:val="1002"/>
        </w:numPr>
        <w:pStyle w:val="Compact"/>
      </w:pPr>
      <w:r>
        <w:rPr>
          <w:bCs/>
          <w:b/>
        </w:rPr>
        <w:t xml:space="preserve">Scope 1 Emissions:</w:t>
      </w:r>
      <w:r>
        <w:t xml:space="preserve"> </w:t>
      </w:r>
      <w:r>
        <w:t xml:space="preserve">Direct emissions from on-site fuel combustion for heating or process energy. For this report, we assume minimal direct combustion based on typical electronics manufacturing, or it\'s implicitly part of the energy intensity for grid electricity. (e.g., 0.1 kg CO2e/unit for minor on-site combustion).</w:t>
      </w:r>
    </w:p>
    <w:p>
      <w:pPr>
        <w:numPr>
          <w:ilvl w:val="0"/>
          <w:numId w:val="1002"/>
        </w:numPr>
        <w:pStyle w:val="Compact"/>
      </w:pPr>
      <w:r>
        <w:rPr>
          <w:bCs/>
          <w:b/>
        </w:rPr>
        <w:t xml:space="preserve">Scope 2 Emissions:</w:t>
      </w:r>
      <w:r>
        <w:t xml:space="preserve"> </w:t>
      </w:r>
      <w:r>
        <w:t xml:space="preserve">Indirect emissions from purchased electricity. Using the illustrative energy intensity of 15 kWh/unit and assuming 70% renewable energy (as per illustrative pkxuxvsssp = "70%") and a generic Chinese grid emission factor (e.g., 0.6 kg CO2e/kWh for the non-renewable portion), the calculation proceeds.</w:t>
      </w:r>
    </w:p>
    <w:bookmarkEnd w:id="26"/>
    <w:bookmarkStart w:id="27" w:name="transport-scope-3---upstream-downstream"/>
    <w:p>
      <w:pPr>
        <w:pStyle w:val="Heading3"/>
      </w:pPr>
      <w:r>
        <w:t xml:space="preserve">2.3. Transport (Scope 3 - Upstream &amp; Downstream)</w:t>
      </w:r>
    </w:p>
    <w:p>
      <w:pPr>
        <w:pStyle w:val="FirstParagraph"/>
      </w:pPr>
      <w:r>
        <w:t xml:space="preserve">Transportation impacts are assessed for both inbound raw materials and outbound finished products.</w:t>
      </w:r>
    </w:p>
    <w:p>
      <w:pPr>
        <w:numPr>
          <w:ilvl w:val="0"/>
          <w:numId w:val="1003"/>
        </w:numPr>
        <w:pStyle w:val="Compact"/>
      </w:pPr>
      <w:r>
        <w:rPr>
          <w:bCs/>
          <w:b/>
        </w:rPr>
        <w:t xml:space="preserve">Transport Mode (Inbound/Outbound):</w:t>
      </w:r>
      <w:r>
        <w:t xml:space="preserve"> </w:t>
      </w:r>
      <w:r>
        <w:t xml:space="preserve">The selected transport mode is</w:t>
      </w:r>
      <w:r>
        <w:t xml:space="preserve"> </w:t>
      </w:r>
      <w:r>
        <w:rPr>
          <w:bCs/>
          <w:b/>
        </w:rPr>
        <w:t xml:space="preserve">Select Mode</w:t>
      </w:r>
      <w:r>
        <w:t xml:space="preserve">. For illustrative purposes, we assume "Road freight (Heavy Duty Lorry)" for general transport.</w:t>
      </w:r>
    </w:p>
    <w:p>
      <w:pPr>
        <w:numPr>
          <w:ilvl w:val="0"/>
          <w:numId w:val="1003"/>
        </w:numPr>
        <w:pStyle w:val="Compact"/>
      </w:pPr>
      <w:r>
        <w:rPr>
          <w:bCs/>
          <w:b/>
        </w:rPr>
        <w:t xml:space="preserve">Transport Distance:</w:t>
      </w:r>
      <w:r>
        <w:t xml:space="preserve"> </w:t>
      </w:r>
      <w:r>
        <w:t xml:space="preserve">The total transport distance is</w:t>
      </w:r>
      <w:r>
        <w:t xml:space="preserve"> </w:t>
      </w:r>
      <w:r>
        <w:rPr>
          <w:bCs/>
          <w:b/>
        </w:rPr>
        <w:t xml:space="preserve">ttgwiyhowv</w:t>
      </w:r>
      <w:r>
        <w:t xml:space="preserve">. For illustrative purposes, we assume an average distance of 2,000 km for both inbound and outbound logistics.</w:t>
      </w:r>
    </w:p>
    <w:p>
      <w:pPr>
        <w:numPr>
          <w:ilvl w:val="0"/>
          <w:numId w:val="1003"/>
        </w:numPr>
        <w:pStyle w:val="Compact"/>
      </w:pPr>
      <w:r>
        <w:rPr>
          <w:bCs/>
          <w:b/>
        </w:rPr>
        <w:t xml:space="preserve">Last-Mile Delivery Channel:</w:t>
      </w:r>
      <w:r>
        <w:t xml:space="preserve"> </w:t>
      </w:r>
      <w:r>
        <w:t xml:space="preserve">The last-mile delivery channel is</w:t>
      </w:r>
      <w:r>
        <w:t xml:space="preserve"> </w:t>
      </w:r>
      <w:r>
        <w:rPr>
          <w:bCs/>
          <w:b/>
        </w:rPr>
        <w:t xml:space="preserve">Delivery Type</w:t>
      </w:r>
      <w:r>
        <w:t xml:space="preserve">. For illustrative purposes, we assume "Parcel post (Van)" for last-mile delivery over an average of 100 km.</w:t>
      </w:r>
    </w:p>
    <w:bookmarkEnd w:id="27"/>
    <w:bookmarkStart w:id="28" w:name="use-phase-scope-3---downstream"/>
    <w:p>
      <w:pPr>
        <w:pStyle w:val="Heading3"/>
      </w:pPr>
      <w:r>
        <w:t xml:space="preserve">2.4. Use Phase (Scope 3 - Downstream)</w:t>
      </w:r>
    </w:p>
    <w:p>
      <w:pPr>
        <w:pStyle w:val="FirstParagraph"/>
      </w:pPr>
      <w:r>
        <w:t xml:space="preserve">The emissions generated during the product\'s operational life are a significant component.</w:t>
      </w:r>
    </w:p>
    <w:p>
      <w:pPr>
        <w:numPr>
          <w:ilvl w:val="0"/>
          <w:numId w:val="1004"/>
        </w:numPr>
        <w:pStyle w:val="Compact"/>
      </w:pPr>
      <w:r>
        <w:rPr>
          <w:bCs/>
          <w:b/>
        </w:rPr>
        <w:t xml:space="preserve">Product Lifespan:</w:t>
      </w:r>
      <w:r>
        <w:t xml:space="preserve"> </w:t>
      </w:r>
      <w:r>
        <w:t xml:space="preserve">The product lifespan is</w:t>
      </w:r>
      <w:r>
        <w:t xml:space="preserve"> </w:t>
      </w:r>
      <w:r>
        <w:rPr>
          <w:bCs/>
          <w:b/>
        </w:rPr>
        <w:t xml:space="preserve">uussjmthpj</w:t>
      </w:r>
      <w:r>
        <w:t xml:space="preserve">. For illustrative purposes, we assume a lifespan of 5 years (e.g., if uussjmthpj = "5 years").</w:t>
      </w:r>
    </w:p>
    <w:p>
      <w:pPr>
        <w:numPr>
          <w:ilvl w:val="0"/>
          <w:numId w:val="1004"/>
        </w:numPr>
        <w:pStyle w:val="Compact"/>
      </w:pPr>
      <w:r>
        <w:rPr>
          <w:bCs/>
          <w:b/>
        </w:rPr>
        <w:t xml:space="preserve">Energy Consumption in Use:</w:t>
      </w:r>
      <w:r>
        <w:t xml:space="preserve"> </w:t>
      </w:r>
      <w:r>
        <w:t xml:space="preserve">The energy consumption during the use phase is</w:t>
      </w:r>
      <w:r>
        <w:t xml:space="preserve"> </w:t>
      </w:r>
      <w:r>
        <w:rPr>
          <w:bCs/>
          <w:b/>
        </w:rPr>
        <w:t xml:space="preserve">rirqvjlylx</w:t>
      </w:r>
      <w:r>
        <w:t xml:space="preserve">. For illustrative purposes, we assume 20 kWh/year (e.g., if rirqvjlylx = "20 kWh/year"). This is multiplied by the product lifespan.</w:t>
      </w:r>
    </w:p>
    <w:bookmarkEnd w:id="28"/>
    <w:bookmarkStart w:id="29" w:name="X2449e76f36fce2c9fec3c701a472f020b80894d"/>
    <w:p>
      <w:pPr>
        <w:pStyle w:val="Heading3"/>
      </w:pPr>
      <w:r>
        <w:t xml:space="preserve">2.5. End-of-Life (EoL) Scenarios (Scope 3 - Downstream)</w:t>
      </w:r>
    </w:p>
    <w:p>
      <w:pPr>
        <w:pStyle w:val="FirstParagraph"/>
      </w:pPr>
      <w:r>
        <w:t xml:space="preserve">The environmental impact at the end of the product\'s life is considered, incorporating circular economy principles.</w:t>
      </w:r>
    </w:p>
    <w:p>
      <w:pPr>
        <w:numPr>
          <w:ilvl w:val="0"/>
          <w:numId w:val="1005"/>
        </w:numPr>
        <w:pStyle w:val="Compact"/>
      </w:pPr>
      <w:r>
        <w:rPr>
          <w:bCs/>
          <w:b/>
        </w:rPr>
        <w:t xml:space="preserve">Recyclability Percentage:</w:t>
      </w:r>
      <w:r>
        <w:t xml:space="preserve"> </w:t>
      </w:r>
      <w:r>
        <w:t xml:space="preserve">The recyclability percentage is</w:t>
      </w:r>
      <w:r>
        <w:t xml:space="preserve"> </w:t>
      </w:r>
      <w:r>
        <w:rPr>
          <w:bCs/>
          <w:b/>
        </w:rPr>
        <w:t xml:space="preserve">pjlmhdueyn</w:t>
      </w:r>
      <w:r>
        <w:t xml:space="preserve">. For illustrative purposes, we assume 60% (e.g., if pjlmhdueyn = "60%").</w:t>
      </w:r>
    </w:p>
    <w:p>
      <w:pPr>
        <w:numPr>
          <w:ilvl w:val="0"/>
          <w:numId w:val="1005"/>
        </w:numPr>
        <w:pStyle w:val="Compact"/>
      </w:pPr>
      <w:r>
        <w:rPr>
          <w:bCs/>
          <w:b/>
        </w:rPr>
        <w:t xml:space="preserve">Circular/Take-back Programs:</w:t>
      </w:r>
      <w:r>
        <w:t xml:space="preserve"> </w:t>
      </w:r>
      <w:r>
        <w:t xml:space="preserve">The company implements</w:t>
      </w:r>
      <w:r>
        <w:t xml:space="preserve"> </w:t>
      </w:r>
      <w:r>
        <w:rPr>
          <w:bCs/>
          <w:b/>
        </w:rPr>
        <w:t xml:space="preserve">semhdozzhd</w:t>
      </w:r>
      <w:r>
        <w:t xml:space="preserve"> </w:t>
      </w:r>
      <w:r>
        <w:t xml:space="preserve">circular/take-back programs. For illustrative purposes, we assume "Established take-back program with material recovery" (e.g., if semhdozzhd = "Take-back Program"). This helps reduce landfill impacts and promotes material circularity.</w:t>
      </w:r>
    </w:p>
    <w:p>
      <w:r>
        <w:pict>
          <v:rect style="width:0;height:1.5pt" o:hralign="center" o:hrstd="t" o:hr="t"/>
        </w:pict>
      </w:r>
    </w:p>
    <w:bookmarkEnd w:id="29"/>
    <w:bookmarkEnd w:id="30"/>
    <w:bookmarkStart w:id="39" w:name="X439a6e6dcb43c636bf515ffaf3f59bce0bd6490"/>
    <w:p>
      <w:pPr>
        <w:pStyle w:val="Heading2"/>
      </w:pPr>
      <w:r>
        <w:t xml:space="preserve">4. Emission Calculation (Activity * Emission Factor = CO2e)</w:t>
      </w:r>
    </w:p>
    <w:p>
      <w:pPr>
        <w:pStyle w:val="FirstParagraph"/>
      </w:pPr>
      <w:r>
        <w:t xml:space="preserve">Emissions are calculated by multiplying activity data (e.g., kg of material, kWh of energy, km of transport) by relevant emission factors. Industry-standard emission factors (e.g., from Ecoinvent/DEFRA equivalents) are used for these calculations.</w:t>
      </w:r>
    </w:p>
    <w:bookmarkStart w:id="31" w:name="X328bbedf570dbe52520ba2788f7d0aacfb4565a"/>
    <w:p>
      <w:pPr>
        <w:pStyle w:val="Heading3"/>
      </w:pPr>
      <w:r>
        <w:t xml:space="preserve">4.1. Illustrative Emission Factors Used (Examples)</w:t>
      </w:r>
    </w:p>
    <w:p>
      <w:pPr>
        <w:numPr>
          <w:ilvl w:val="0"/>
          <w:numId w:val="1006"/>
        </w:numPr>
        <w:pStyle w:val="Compact"/>
      </w:pPr>
      <w:r>
        <w:t xml:space="preserve">Electricity Grid Mix (China): 0.6 kg CO2e/kWh</w:t>
      </w:r>
    </w:p>
    <w:p>
      <w:pPr>
        <w:numPr>
          <w:ilvl w:val="0"/>
          <w:numId w:val="1006"/>
        </w:numPr>
        <w:pStyle w:val="Compact"/>
      </w:pPr>
      <w:r>
        <w:t xml:space="preserve">Road freight (Heavy Duty Lorry, &gt;16t, Euro 6): 0.08 kg CO2e/tkm</w:t>
      </w:r>
    </w:p>
    <w:p>
      <w:pPr>
        <w:numPr>
          <w:ilvl w:val="0"/>
          <w:numId w:val="1006"/>
        </w:numPr>
        <w:pStyle w:val="Compact"/>
      </w:pPr>
      <w:r>
        <w:t xml:space="preserve">Parcel post (Van): 0.3 kg CO2e/parcel-km</w:t>
      </w:r>
    </w:p>
    <w:p>
      <w:pPr>
        <w:numPr>
          <w:ilvl w:val="0"/>
          <w:numId w:val="1006"/>
        </w:numPr>
        <w:pStyle w:val="Compact"/>
      </w:pPr>
      <w:r>
        <w:t xml:space="preserve">Landfill of mixed waste: 0.5 kg CO2e/kg</w:t>
      </w:r>
    </w:p>
    <w:p>
      <w:pPr>
        <w:numPr>
          <w:ilvl w:val="0"/>
          <w:numId w:val="1006"/>
        </w:numPr>
        <w:pStyle w:val="Compact"/>
      </w:pPr>
      <w:r>
        <w:t xml:space="preserve">Recycling credits (e.g., for aluminum): -1.5 kg CO2e/kg (avoided emissions)</w:t>
      </w:r>
    </w:p>
    <w:bookmarkEnd w:id="31"/>
    <w:bookmarkStart w:id="37" w:name="X01a1835bf8b998256590bab7cbfc39c5e643208"/>
    <w:p>
      <w:pPr>
        <w:pStyle w:val="Heading3"/>
      </w:pPr>
      <w:r>
        <w:t xml:space="preserve">4.2. Total Product Carbon Footprint Calculation Summary (Illustrative)</w:t>
      </w:r>
    </w:p>
    <w:bookmarkStart w:id="32" w:name="X9044e8fa42028c136bc048a3f020ad7795564ed"/>
    <w:p>
      <w:pPr>
        <w:pStyle w:val="Heading4"/>
      </w:pPr>
      <w:r>
        <w:t xml:space="preserve">Scope 1 Emissions (Direct Emissions from ropqhkjwyi Operations)</w:t>
      </w:r>
    </w:p>
    <w:p>
      <w:pPr>
        <w:pStyle w:val="FirstParagraph"/>
      </w:pPr>
      <w:r>
        <w:t xml:space="preserve">Based on the provided parameters, direct emissions from on-site fuel combustion for tuynfvkhnd production are assumed to be minimal or zero, as is common in many modern manufacturing facilities primarily using grid electricity.</w:t>
      </w:r>
    </w:p>
    <w:p>
      <w:pPr>
        <w:numPr>
          <w:ilvl w:val="0"/>
          <w:numId w:val="1007"/>
        </w:numPr>
        <w:pStyle w:val="Compact"/>
      </w:pPr>
      <w:r>
        <w:t xml:space="preserve">On-site fuel combustion: 0.1 kg CO2e/unit (illustrative for minor process heat)</w:t>
      </w:r>
    </w:p>
    <w:p>
      <w:pPr>
        <w:numPr>
          <w:ilvl w:val="0"/>
          <w:numId w:val="1007"/>
        </w:numPr>
        <w:pStyle w:val="Compact"/>
      </w:pPr>
      <w:r>
        <w:rPr>
          <w:bCs/>
          <w:b/>
        </w:rPr>
        <w:t xml:space="preserve">Total Scope 1: 0.1 kg CO2e/unit</w:t>
      </w:r>
    </w:p>
    <w:bookmarkEnd w:id="32"/>
    <w:bookmarkStart w:id="33" w:name="Xabaf36afb50e1ecd0581e4975e3ac9d7fff6ddf"/>
    <w:p>
      <w:pPr>
        <w:pStyle w:val="Heading4"/>
      </w:pPr>
      <w:r>
        <w:t xml:space="preserve">Scope 2 Emissions (Purchased Electricity for ropqhkjwyi Operations)</w:t>
      </w:r>
    </w:p>
    <w:p>
      <w:pPr>
        <w:pStyle w:val="FirstParagraph"/>
      </w:pPr>
      <w:r>
        <w:t xml:space="preserve">Using illustrative values:</w:t>
      </w:r>
    </w:p>
    <w:p>
      <w:pPr>
        <w:numPr>
          <w:ilvl w:val="0"/>
          <w:numId w:val="1008"/>
        </w:numPr>
        <w:pStyle w:val="Compact"/>
      </w:pPr>
      <w:r>
        <w:t xml:space="preserve">Energy Intensity (mzmqxkfvpl): 15 kWh/unit</w:t>
      </w:r>
    </w:p>
    <w:p>
      <w:pPr>
        <w:numPr>
          <w:ilvl w:val="0"/>
          <w:numId w:val="1008"/>
        </w:numPr>
        <w:pStyle w:val="Compact"/>
      </w:pPr>
      <w:r>
        <w:t xml:space="preserve">Renewable Energy Usage (pkxuxvsssp): 70%</w:t>
      </w:r>
    </w:p>
    <w:p>
      <w:pPr>
        <w:numPr>
          <w:ilvl w:val="0"/>
          <w:numId w:val="1008"/>
        </w:numPr>
        <w:pStyle w:val="Compact"/>
      </w:pPr>
      <w:r>
        <w:t xml:space="preserve">Non-renewable electricity: 15 kWh/unit * (1 - 0.70) = 4.5 kWh/unit</w:t>
      </w:r>
    </w:p>
    <w:p>
      <w:pPr>
        <w:numPr>
          <w:ilvl w:val="0"/>
          <w:numId w:val="1008"/>
        </w:numPr>
        <w:pStyle w:val="Compact"/>
      </w:pPr>
      <w:r>
        <w:t xml:space="preserve">Grid Emission Factor (China): 0.6 kg CO2e/kWh</w:t>
      </w:r>
    </w:p>
    <w:p>
      <w:pPr>
        <w:numPr>
          <w:ilvl w:val="0"/>
          <w:numId w:val="1008"/>
        </w:numPr>
        <w:pStyle w:val="Compact"/>
      </w:pPr>
      <w:r>
        <w:rPr>
          <w:bCs/>
          <w:b/>
        </w:rPr>
        <w:t xml:space="preserve">Total Scope 2:</w:t>
      </w:r>
      <w:r>
        <w:t xml:space="preserve"> </w:t>
      </w:r>
      <w:r>
        <w:t xml:space="preserve">4.5 kWh/unit * 0.6 kg CO2e/kWh =</w:t>
      </w:r>
      <w:r>
        <w:t xml:space="preserve"> </w:t>
      </w:r>
      <w:r>
        <w:rPr>
          <w:bCs/>
          <w:b/>
        </w:rPr>
        <w:t xml:space="preserve">2.7 kg CO2e/unit</w:t>
      </w:r>
    </w:p>
    <w:bookmarkEnd w:id="33"/>
    <w:bookmarkStart w:id="36" w:name="scope-3-emissions-value-chain-emissions"/>
    <w:p>
      <w:pPr>
        <w:pStyle w:val="Heading4"/>
      </w:pPr>
      <w:r>
        <w:t xml:space="preserve">Scope 3 Emissions (Value Chain Emissions)</w:t>
      </w:r>
    </w:p>
    <w:bookmarkStart w:id="34" w:name="upstream-emissions"/>
    <w:p>
      <w:pPr>
        <w:pStyle w:val="Heading5"/>
      </w:pPr>
      <w:r>
        <w:t xml:space="preserve">3.1. Upstream Emissions</w:t>
      </w:r>
    </w:p>
    <w:p>
      <w:pPr>
        <w:numPr>
          <w:ilvl w:val="0"/>
          <w:numId w:val="1009"/>
        </w:numPr>
        <w:pStyle w:val="Compact"/>
      </w:pPr>
      <w:r>
        <w:rPr>
          <w:bCs/>
          <w:b/>
        </w:rPr>
        <w:t xml:space="preserve">Materials (based on Illustrative BOM):</w:t>
      </w:r>
    </w:p>
    <w:p>
      <w:pPr>
        <w:numPr>
          <w:ilvl w:val="1"/>
          <w:numId w:val="1010"/>
        </w:numPr>
        <w:pStyle w:val="Compact"/>
      </w:pPr>
      <w:r>
        <w:t xml:space="preserve">Aluminum: 3.00 kg CO2e</w:t>
      </w:r>
    </w:p>
    <w:p>
      <w:pPr>
        <w:numPr>
          <w:ilvl w:val="1"/>
          <w:numId w:val="1010"/>
        </w:numPr>
        <w:pStyle w:val="Compact"/>
      </w:pPr>
      <w:r>
        <w:t xml:space="preserve">ABS Plastic: 1.05 kg CO2e</w:t>
      </w:r>
    </w:p>
    <w:p>
      <w:pPr>
        <w:numPr>
          <w:ilvl w:val="1"/>
          <w:numId w:val="1010"/>
        </w:numPr>
        <w:pStyle w:val="Compact"/>
      </w:pPr>
      <w:r>
        <w:t xml:space="preserve">Copper: 0.40 kg CO2e</w:t>
      </w:r>
    </w:p>
    <w:p>
      <w:pPr>
        <w:numPr>
          <w:ilvl w:val="1"/>
          <w:numId w:val="1010"/>
        </w:numPr>
        <w:pStyle w:val="Compact"/>
      </w:pPr>
      <w:r>
        <w:t xml:space="preserve">Silicon: 1.00 kg CO2e</w:t>
      </w:r>
    </w:p>
    <w:p>
      <w:pPr>
        <w:numPr>
          <w:ilvl w:val="1"/>
          <w:numId w:val="1010"/>
        </w:numPr>
        <w:pStyle w:val="Compact"/>
      </w:pPr>
      <w:r>
        <w:t xml:space="preserve">Packaging Cardboard: 0.24 kg CO2e</w:t>
      </w:r>
    </w:p>
    <w:p>
      <w:pPr>
        <w:numPr>
          <w:ilvl w:val="1"/>
          <w:numId w:val="1010"/>
        </w:numPr>
        <w:pStyle w:val="Compact"/>
      </w:pPr>
      <w:r>
        <w:rPr>
          <w:bCs/>
          <w:b/>
        </w:rPr>
        <w:t xml:space="preserve">Subtotal Material Emissions: 5.69 kg CO2e/unit</w:t>
      </w:r>
    </w:p>
    <w:p>
      <w:pPr>
        <w:numPr>
          <w:ilvl w:val="0"/>
          <w:numId w:val="1009"/>
        </w:numPr>
        <w:pStyle w:val="Compact"/>
      </w:pPr>
      <w:r>
        <w:rPr>
          <w:bCs/>
          <w:b/>
        </w:rPr>
        <w:t xml:space="preserve">Upstream Transport (Illustrative - Inbound Materials):</w:t>
      </w:r>
    </w:p>
    <w:p>
      <w:pPr>
        <w:numPr>
          <w:ilvl w:val="1"/>
          <w:numId w:val="1011"/>
        </w:numPr>
        <w:pStyle w:val="Compact"/>
      </w:pPr>
      <w:r>
        <w:t xml:space="preserve">Assumed material weight: 1.2 kg/unit (sum of illustrative BOM)</w:t>
      </w:r>
    </w:p>
    <w:p>
      <w:pPr>
        <w:numPr>
          <w:ilvl w:val="1"/>
          <w:numId w:val="1011"/>
        </w:numPr>
        <w:pStyle w:val="Compact"/>
      </w:pPr>
      <w:r>
        <w:t xml:space="preserve">Transport Mode (Select Mode): Road freight (Heavy Duty Lorry)</w:t>
      </w:r>
    </w:p>
    <w:p>
      <w:pPr>
        <w:numPr>
          <w:ilvl w:val="1"/>
          <w:numId w:val="1011"/>
        </w:numPr>
        <w:pStyle w:val="Compact"/>
      </w:pPr>
      <w:r>
        <w:t xml:space="preserve">Transport Distance (ttgwiyhowv): 2,000 km (illustrative)</w:t>
      </w:r>
    </w:p>
    <w:p>
      <w:pPr>
        <w:numPr>
          <w:ilvl w:val="1"/>
          <w:numId w:val="1011"/>
        </w:numPr>
        <w:pStyle w:val="Compact"/>
      </w:pPr>
      <w:r>
        <w:t xml:space="preserve">Emission Factor: 0.08 kg CO2e/tkm</w:t>
      </w:r>
    </w:p>
    <w:p>
      <w:pPr>
        <w:numPr>
          <w:ilvl w:val="1"/>
          <w:numId w:val="1011"/>
        </w:numPr>
        <w:pStyle w:val="Compact"/>
      </w:pPr>
      <w:r>
        <w:t xml:space="preserve">Calculation: (1.2 kg / 1000) * 2000 km * 0.08 kg CO2e/tkm = 0.192 kg CO2e/unit</w:t>
      </w:r>
    </w:p>
    <w:p>
      <w:pPr>
        <w:numPr>
          <w:ilvl w:val="1"/>
          <w:numId w:val="1011"/>
        </w:numPr>
        <w:pStyle w:val="Compact"/>
      </w:pPr>
      <w:r>
        <w:rPr>
          <w:bCs/>
          <w:b/>
        </w:rPr>
        <w:t xml:space="preserve">Subtotal Upstream Transport: 0.19 kg CO2e/unit</w:t>
      </w:r>
    </w:p>
    <w:p>
      <w:pPr>
        <w:numPr>
          <w:ilvl w:val="0"/>
          <w:numId w:val="1009"/>
        </w:numPr>
        <w:pStyle w:val="Compact"/>
      </w:pPr>
      <w:r>
        <w:rPr>
          <w:bCs/>
          <w:b/>
        </w:rPr>
        <w:t xml:space="preserve">Total Upstream Scope 3: 5.69 + 0.19 = 5.88 kg CO2e/unit</w:t>
      </w:r>
    </w:p>
    <w:bookmarkEnd w:id="34"/>
    <w:bookmarkStart w:id="35" w:name="downstream-emissions"/>
    <w:p>
      <w:pPr>
        <w:pStyle w:val="Heading5"/>
      </w:pPr>
      <w:r>
        <w:t xml:space="preserve">3.2. Downstream Emissions</w:t>
      </w:r>
    </w:p>
    <w:p>
      <w:pPr>
        <w:numPr>
          <w:ilvl w:val="0"/>
          <w:numId w:val="1012"/>
        </w:numPr>
        <w:pStyle w:val="Compact"/>
      </w:pPr>
      <w:r>
        <w:rPr>
          <w:bCs/>
          <w:b/>
        </w:rPr>
        <w:t xml:space="preserve">Downstream Transport (Illustrative - Distribution to Customer):</w:t>
      </w:r>
    </w:p>
    <w:p>
      <w:pPr>
        <w:numPr>
          <w:ilvl w:val="1"/>
          <w:numId w:val="1013"/>
        </w:numPr>
        <w:pStyle w:val="Compact"/>
      </w:pPr>
      <w:r>
        <w:t xml:space="preserve">Transport Mode (Select Mode): Road freight (Heavy Duty Lorry)</w:t>
      </w:r>
    </w:p>
    <w:p>
      <w:pPr>
        <w:numPr>
          <w:ilvl w:val="1"/>
          <w:numId w:val="1013"/>
        </w:numPr>
        <w:pStyle w:val="Compact"/>
      </w:pPr>
      <w:r>
        <w:t xml:space="preserve">Transport Distance (ttgwiyhowv): 2,000 km (illustrative)</w:t>
      </w:r>
    </w:p>
    <w:p>
      <w:pPr>
        <w:numPr>
          <w:ilvl w:val="1"/>
          <w:numId w:val="1013"/>
        </w:numPr>
        <w:pStyle w:val="Compact"/>
      </w:pPr>
      <w:r>
        <w:t xml:space="preserve">Product weight: 1.0 kg/unit (illustrative, not including packaging)</w:t>
      </w:r>
    </w:p>
    <w:p>
      <w:pPr>
        <w:numPr>
          <w:ilvl w:val="1"/>
          <w:numId w:val="1013"/>
        </w:numPr>
        <w:pStyle w:val="Compact"/>
      </w:pPr>
      <w:r>
        <w:t xml:space="preserve">Emission Factor: 0.08 kg CO2e/tkm</w:t>
      </w:r>
    </w:p>
    <w:p>
      <w:pPr>
        <w:numPr>
          <w:ilvl w:val="1"/>
          <w:numId w:val="1013"/>
        </w:numPr>
        <w:pStyle w:val="Compact"/>
      </w:pPr>
      <w:r>
        <w:t xml:space="preserve">Calculation: (1.0 kg / 1000) * 2000 km * 0.08 kg CO2e/tkm = 0.16 kg CO2e/unit</w:t>
      </w:r>
    </w:p>
    <w:p>
      <w:pPr>
        <w:numPr>
          <w:ilvl w:val="0"/>
          <w:numId w:val="1012"/>
        </w:numPr>
        <w:pStyle w:val="Compact"/>
      </w:pPr>
      <w:r>
        <w:rPr>
          <w:bCs/>
          <w:b/>
        </w:rPr>
        <w:t xml:space="preserve">Last-Mile Delivery (Illustrative - Delivery Type):</w:t>
      </w:r>
    </w:p>
    <w:p>
      <w:pPr>
        <w:numPr>
          <w:ilvl w:val="1"/>
          <w:numId w:val="1014"/>
        </w:numPr>
        <w:pStyle w:val="Compact"/>
      </w:pPr>
      <w:r>
        <w:t xml:space="preserve">Last-Mile Delivery Channel (Delivery Type): Parcel post (Van)</w:t>
      </w:r>
    </w:p>
    <w:p>
      <w:pPr>
        <w:numPr>
          <w:ilvl w:val="1"/>
          <w:numId w:val="1014"/>
        </w:numPr>
        <w:pStyle w:val="Compact"/>
      </w:pPr>
      <w:r>
        <w:t xml:space="preserve">Distance: 100 km (illustrative)</w:t>
      </w:r>
    </w:p>
    <w:p>
      <w:pPr>
        <w:numPr>
          <w:ilvl w:val="1"/>
          <w:numId w:val="1014"/>
        </w:numPr>
        <w:pStyle w:val="Compact"/>
      </w:pPr>
      <w:r>
        <w:t xml:space="preserve">Emission Factor: 0.3 kg CO2e/parcel-km (simplified, assuming product is one parcel)</w:t>
      </w:r>
    </w:p>
    <w:p>
      <w:pPr>
        <w:numPr>
          <w:ilvl w:val="1"/>
          <w:numId w:val="1014"/>
        </w:numPr>
        <w:pStyle w:val="Compact"/>
      </w:pPr>
      <w:r>
        <w:t xml:space="preserve">Calculation: 1 unit * 100 km * 0.3 kg CO2e/parcel-km = 0.3 kg CO2e/unit</w:t>
      </w:r>
    </w:p>
    <w:p>
      <w:pPr>
        <w:numPr>
          <w:ilvl w:val="1"/>
          <w:numId w:val="1014"/>
        </w:numPr>
        <w:pStyle w:val="Compact"/>
      </w:pPr>
      <w:r>
        <w:rPr>
          <w:bCs/>
          <w:b/>
        </w:rPr>
        <w:t xml:space="preserve">Subtotal Downstream Transport: 0.16 + 0.3 = 0.46 kg CO2e/unit</w:t>
      </w:r>
    </w:p>
    <w:p>
      <w:pPr>
        <w:numPr>
          <w:ilvl w:val="0"/>
          <w:numId w:val="1012"/>
        </w:numPr>
        <w:pStyle w:val="Compact"/>
      </w:pPr>
      <w:r>
        <w:rPr>
          <w:bCs/>
          <w:b/>
        </w:rPr>
        <w:t xml:space="preserve">Use Phase (Illustrative):</w:t>
      </w:r>
    </w:p>
    <w:p>
      <w:pPr>
        <w:numPr>
          <w:ilvl w:val="1"/>
          <w:numId w:val="1015"/>
        </w:numPr>
        <w:pStyle w:val="Compact"/>
      </w:pPr>
      <w:r>
        <w:t xml:space="preserve">Product Lifespan (uussjmthpj): 5 years</w:t>
      </w:r>
    </w:p>
    <w:p>
      <w:pPr>
        <w:numPr>
          <w:ilvl w:val="1"/>
          <w:numId w:val="1015"/>
        </w:numPr>
        <w:pStyle w:val="Compact"/>
      </w:pPr>
      <w:r>
        <w:t xml:space="preserve">Energy Consumption in Use (rirqvjlylx): 20 kWh/year</w:t>
      </w:r>
    </w:p>
    <w:p>
      <w:pPr>
        <w:numPr>
          <w:ilvl w:val="1"/>
          <w:numId w:val="1015"/>
        </w:numPr>
        <w:pStyle w:val="Compact"/>
      </w:pPr>
      <w:r>
        <w:t xml:space="preserve">Total Use Phase Energy: 20 kWh/year * 5 years = 100 kWh/unit</w:t>
      </w:r>
    </w:p>
    <w:p>
      <w:pPr>
        <w:numPr>
          <w:ilvl w:val="1"/>
          <w:numId w:val="1015"/>
        </w:numPr>
        <w:pStyle w:val="Compact"/>
      </w:pPr>
      <w:r>
        <w:t xml:space="preserve">Emission Factor (global average grid): 0.5 kg CO2e/kWh (illustrative, as use location is global)</w:t>
      </w:r>
    </w:p>
    <w:p>
      <w:pPr>
        <w:numPr>
          <w:ilvl w:val="1"/>
          <w:numId w:val="1015"/>
        </w:numPr>
        <w:pStyle w:val="Compact"/>
      </w:pPr>
      <w:r>
        <w:t xml:space="preserve">Calculation: 100 kWh/unit * 0.5 kg CO2e/kWh = 50 kg CO2e/unit</w:t>
      </w:r>
    </w:p>
    <w:p>
      <w:pPr>
        <w:numPr>
          <w:ilvl w:val="1"/>
          <w:numId w:val="1015"/>
        </w:numPr>
        <w:pStyle w:val="Compact"/>
      </w:pPr>
      <w:r>
        <w:rPr>
          <w:bCs/>
          <w:b/>
        </w:rPr>
        <w:t xml:space="preserve">Total Use Phase Emissions: 50 kg CO2e/unit</w:t>
      </w:r>
    </w:p>
    <w:p>
      <w:pPr>
        <w:numPr>
          <w:ilvl w:val="0"/>
          <w:numId w:val="1012"/>
        </w:numPr>
        <w:pStyle w:val="Compact"/>
      </w:pPr>
      <w:r>
        <w:rPr>
          <w:bCs/>
          <w:b/>
        </w:rPr>
        <w:t xml:space="preserve">End-of-Life (EoL) (Illustrative):</w:t>
      </w:r>
    </w:p>
    <w:p>
      <w:pPr>
        <w:numPr>
          <w:ilvl w:val="1"/>
          <w:numId w:val="1016"/>
        </w:numPr>
        <w:pStyle w:val="Compact"/>
      </w:pPr>
      <w:r>
        <w:t xml:space="preserve">Product weight (excl. packaging): 1.0 kg/unit (illustrative)</w:t>
      </w:r>
    </w:p>
    <w:p>
      <w:pPr>
        <w:numPr>
          <w:ilvl w:val="1"/>
          <w:numId w:val="1016"/>
        </w:numPr>
        <w:pStyle w:val="Compact"/>
      </w:pPr>
      <w:r>
        <w:t xml:space="preserve">Recyclability Percentage (pjlmhdueyn): 60%</w:t>
      </w:r>
    </w:p>
    <w:p>
      <w:pPr>
        <w:numPr>
          <w:ilvl w:val="1"/>
          <w:numId w:val="1016"/>
        </w:numPr>
        <w:pStyle w:val="Compact"/>
      </w:pPr>
      <w:r>
        <w:t xml:space="preserve">Circular/Take-back Programs (semhdozzhd): Established take-back program</w:t>
      </w:r>
    </w:p>
    <w:p>
      <w:pPr>
        <w:numPr>
          <w:ilvl w:val="1"/>
          <w:numId w:val="1016"/>
        </w:numPr>
        <w:pStyle w:val="Compact"/>
      </w:pPr>
      <w:r>
        <w:t xml:space="preserve">Mass to landfill: 1.0 kg * (1 - 0.60) = 0.4 kg/unit</w:t>
      </w:r>
    </w:p>
    <w:p>
      <w:pPr>
        <w:numPr>
          <w:ilvl w:val="1"/>
          <w:numId w:val="1016"/>
        </w:numPr>
        <w:pStyle w:val="Compact"/>
      </w:pPr>
      <w:r>
        <w:t xml:space="preserve">Landfill Emission Factor: 0.5 kg CO2e/kg</w:t>
      </w:r>
    </w:p>
    <w:p>
      <w:pPr>
        <w:numPr>
          <w:ilvl w:val="1"/>
          <w:numId w:val="1016"/>
        </w:numPr>
        <w:pStyle w:val="Compact"/>
      </w:pPr>
      <w:r>
        <w:t xml:space="preserve">Landfill Emissions: 0.4 kg/unit * 0.5 kg CO2e/kg = 0.2 kg CO2e/unit</w:t>
      </w:r>
    </w:p>
    <w:p>
      <w:pPr>
        <w:numPr>
          <w:ilvl w:val="1"/>
          <w:numId w:val="1016"/>
        </w:numPr>
        <w:pStyle w:val="Compact"/>
      </w:pPr>
      <w:r>
        <w:t xml:space="preserve">Recycling Credits: Assume credit for 60% of original material emissions for selected materials (e.g., Aluminum: 0.5 kg * -1.5 kg CO2e/kg credit = -0.75 kg CO2e) - This would be applied against the upstream impact. For simplicity in this summary, we\'ll net off a portion.</w:t>
      </w:r>
    </w:p>
    <w:p>
      <w:pPr>
        <w:numPr>
          <w:ilvl w:val="1"/>
          <w:numId w:val="1016"/>
        </w:numPr>
        <w:pStyle w:val="Compact"/>
      </w:pPr>
      <w:r>
        <w:t xml:space="preserve">Net EoL (illustrative): 0.2 kg CO2e (landfill) - 0.75 kg CO2e (recycling credit for aluminum) = -0.55 kg CO2e/unit (a net negative impact due to avoided emissions)</w:t>
      </w:r>
    </w:p>
    <w:p>
      <w:pPr>
        <w:numPr>
          <w:ilvl w:val="1"/>
          <w:numId w:val="1016"/>
        </w:numPr>
        <w:pStyle w:val="Compact"/>
      </w:pPr>
      <w:r>
        <w:rPr>
          <w:bCs/>
          <w:b/>
        </w:rPr>
        <w:t xml:space="preserve">Total End-of-Life Emissions: -0.55 kg CO2e/unit</w:t>
      </w:r>
    </w:p>
    <w:p>
      <w:pPr>
        <w:numPr>
          <w:ilvl w:val="0"/>
          <w:numId w:val="1012"/>
        </w:numPr>
        <w:pStyle w:val="Compact"/>
      </w:pPr>
      <w:r>
        <w:rPr>
          <w:bCs/>
          <w:b/>
        </w:rPr>
        <w:t xml:space="preserve">Total Downstream Scope 3: 0.46 + 50 - 0.55 = 49.91 kg CO2e/unit</w:t>
      </w:r>
    </w:p>
    <w:bookmarkEnd w:id="35"/>
    <w:bookmarkEnd w:id="36"/>
    <w:bookmarkEnd w:id="37"/>
    <w:bookmarkStart w:id="38" w:name="X85332bc92a0c53ae09c6fdeb42f475c267b44b2"/>
    <w:p>
      <w:pPr>
        <w:pStyle w:val="Heading3"/>
      </w:pPr>
      <w:r>
        <w:t xml:space="preserve">4.3. Consolidated Carbon Footprint for tuynfvkhnd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Illustrative Emissions (kg CO2e/unit)</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Operations (Production)</w:t>
            </w:r>
          </w:p>
        </w:tc>
        <w:tc>
          <w:tcPr/>
          <w:p>
            <w:pPr>
              <w:pStyle w:val="Compact"/>
              <w:jc w:val="left"/>
            </w:pPr>
            <w:r>
              <w:t xml:space="preserve">0.10</w:t>
            </w:r>
          </w:p>
        </w:tc>
        <w:tc>
          <w:tcPr/>
          <w:p>
            <w:pPr>
              <w:pStyle w:val="Compact"/>
              <w:jc w:val="left"/>
            </w:pPr>
            <w:r>
              <w:t xml:space="preserve">0.18%</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2.70</w:t>
            </w:r>
          </w:p>
        </w:tc>
        <w:tc>
          <w:tcPr/>
          <w:p>
            <w:pPr>
              <w:pStyle w:val="Compact"/>
              <w:jc w:val="left"/>
            </w:pPr>
            <w:r>
              <w:t xml:space="preserve">4.91%</w:t>
            </w:r>
          </w:p>
        </w:tc>
      </w:tr>
      <w:tr>
        <w:tc>
          <w:tcPr>
            <w:vMerge w:val="restart"/>
          </w:tcPr>
          <w:p>
            <w:pPr>
              <w:pStyle w:val="Compact"/>
              <w:jc w:val="left"/>
            </w:pPr>
            <w:r>
              <w:rPr>
                <w:bCs/>
                <w:b/>
              </w:rPr>
              <w:t xml:space="preserve">Scope 3</w:t>
            </w:r>
          </w:p>
        </w:tc>
        <w:tc>
          <w:tcPr/>
          <w:p>
            <w:pPr>
              <w:pStyle w:val="Compact"/>
              <w:jc w:val="left"/>
            </w:pPr>
            <w:r>
              <w:t xml:space="preserve">Upstream Materials</w:t>
            </w:r>
          </w:p>
        </w:tc>
        <w:tc>
          <w:tcPr/>
          <w:p>
            <w:pPr>
              <w:pStyle w:val="Compact"/>
              <w:jc w:val="left"/>
            </w:pPr>
            <w:r>
              <w:t xml:space="preserve">5.69</w:t>
            </w:r>
          </w:p>
        </w:tc>
        <w:tc>
          <w:tcPr/>
          <w:p>
            <w:pPr>
              <w:pStyle w:val="Compact"/>
              <w:jc w:val="left"/>
            </w:pPr>
            <w:r>
              <w:t xml:space="preserve">10.36%</w:t>
            </w:r>
          </w:p>
        </w:tc>
      </w:tr>
      <w:tr>
        <w:tc>
          <w:tcPr>
            <w:gridSpan w:val="1"/>
            <w:vMerge w:val="continue"/>
          </w:tcPr>
          <w:p>
            <w:pPr/>
          </w:p>
        </w:tc>
        <w:tc>
          <w:tcPr/>
          <w:p>
            <w:pPr>
              <w:pStyle w:val="Compact"/>
              <w:jc w:val="left"/>
            </w:pPr>
            <w:r>
              <w:t xml:space="preserve">Upstream &amp; Downstream Transport</w:t>
            </w:r>
          </w:p>
        </w:tc>
        <w:tc>
          <w:tcPr/>
          <w:p>
            <w:pPr>
              <w:pStyle w:val="Compact"/>
              <w:jc w:val="left"/>
            </w:pPr>
            <w:r>
              <w:t xml:space="preserve">0.65 (0.19 + 0.46)</w:t>
            </w:r>
          </w:p>
        </w:tc>
        <w:tc>
          <w:tcPr/>
          <w:p>
            <w:pPr>
              <w:pStyle w:val="Compact"/>
              <w:jc w:val="left"/>
            </w:pPr>
            <w:r>
              <w:t xml:space="preserve">1.18%</w:t>
            </w:r>
          </w:p>
        </w:tc>
      </w:tr>
      <w:tr>
        <w:tc>
          <w:tcPr>
            <w:gridSpan w:val="1"/>
            <w:vMerge w:val="continue"/>
          </w:tcPr>
          <w:p>
            <w:pPr/>
          </w:p>
        </w:tc>
        <w:tc>
          <w:tcPr/>
          <w:p>
            <w:pPr>
              <w:pStyle w:val="Compact"/>
              <w:jc w:val="left"/>
            </w:pPr>
            <w:r>
              <w:t xml:space="preserve">Use Phase</w:t>
            </w:r>
          </w:p>
        </w:tc>
        <w:tc>
          <w:tcPr/>
          <w:p>
            <w:pPr>
              <w:pStyle w:val="Compact"/>
              <w:jc w:val="left"/>
            </w:pPr>
            <w:r>
              <w:t xml:space="preserve">50.00</w:t>
            </w:r>
          </w:p>
        </w:tc>
        <w:tc>
          <w:tcPr/>
          <w:p>
            <w:pPr>
              <w:pStyle w:val="Compact"/>
              <w:jc w:val="left"/>
            </w:pPr>
            <w:r>
              <w:t xml:space="preserve">91.07%</w:t>
            </w:r>
          </w:p>
        </w:tc>
      </w:tr>
      <w:tr>
        <w:tc>
          <w:tcPr>
            <w:gridSpan w:val="1"/>
            <w:vMerge w:val="continue"/>
          </w:tcPr>
          <w:p>
            <w:pPr/>
          </w:p>
        </w:tc>
        <w:tc>
          <w:tcPr/>
          <w:p>
            <w:pPr>
              <w:pStyle w:val="Compact"/>
              <w:jc w:val="left"/>
            </w:pPr>
            <w:r>
              <w:t xml:space="preserve">End-of-Life</w:t>
            </w:r>
          </w:p>
        </w:tc>
        <w:tc>
          <w:tcPr/>
          <w:p>
            <w:pPr>
              <w:pStyle w:val="Compact"/>
              <w:jc w:val="left"/>
            </w:pPr>
            <w:r>
              <w:t xml:space="preserve">-0.55</w:t>
            </w:r>
          </w:p>
        </w:tc>
        <w:tc>
          <w:tcPr/>
          <w:p>
            <w:pPr>
              <w:pStyle w:val="Compact"/>
              <w:jc w:val="left"/>
            </w:pPr>
            <w:r>
              <w:t xml:space="preserve">-1.00%</w:t>
            </w:r>
          </w:p>
        </w:tc>
      </w:tr>
      <w:tr>
        <w:tc>
          <w:tcPr>
            <w:gridSpan w:val="2"/>
          </w:tcPr>
          <w:p>
            <w:pPr>
              <w:pStyle w:val="Compact"/>
              <w:jc w:val="left"/>
            </w:pPr>
            <w:r>
              <w:rPr>
                <w:bCs/>
                <w:b/>
              </w:rPr>
              <w:t xml:space="preserve">Total Product Carbon Footprint</w:t>
            </w:r>
          </w:p>
        </w:tc>
        <w:tc>
          <w:tcPr/>
          <w:p>
            <w:pPr>
              <w:pStyle w:val="Compact"/>
              <w:jc w:val="left"/>
            </w:pPr>
            <w:r>
              <w:rPr>
                <w:bCs/>
                <w:b/>
              </w:rPr>
              <w:t xml:space="preserve">54.99 kg CO2e/unit</w:t>
            </w:r>
          </w:p>
        </w:tc>
        <w:tc>
          <w:tcPr/>
          <w:p>
            <w:pPr>
              <w:pStyle w:val="Compact"/>
              <w:jc w:val="left"/>
            </w:pPr>
            <w:r>
              <w:rPr>
                <w:bCs/>
                <w:b/>
              </w:rPr>
              <w:t xml:space="preserve">100.00%</w:t>
            </w:r>
          </w:p>
        </w:tc>
      </w:tr>
    </w:tbl>
    <w:p>
      <w:pPr>
        <w:pStyle w:val="BodyText"/>
      </w:pPr>
      <w:r>
        <w:rPr>
          <w:iCs/>
          <w:i/>
        </w:rPr>
        <w:t xml:space="preserve">Note: All emission values are illustrative, calculated using example numerical inputs for the provided parameters. Actual emissions would require the precise structured data for \'ovqjohlv\' and numerical values for other parameters like \'ttgwiyhowv\', \'mzmqxkfvpl\', etc.</w:t>
      </w:r>
    </w:p>
    <w:p>
      <w:r>
        <w:pict>
          <v:rect style="width:0;height:1.5pt" o:hralign="center" o:hrstd="t" o:hr="t"/>
        </w:pict>
      </w:r>
    </w:p>
    <w:bookmarkEnd w:id="38"/>
    <w:bookmarkEnd w:id="39"/>
    <w:bookmarkStart w:id="42"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the illustrative calculations, the primary emission hotspots for tuynfvkhnd are:</w:t>
      </w:r>
    </w:p>
    <w:p>
      <w:pPr>
        <w:numPr>
          <w:ilvl w:val="0"/>
          <w:numId w:val="1017"/>
        </w:numPr>
        <w:pStyle w:val="Compact"/>
      </w:pPr>
      <w:r>
        <w:rPr>
          <w:bCs/>
          <w:b/>
        </w:rPr>
        <w:t xml:space="preserve">Use Phase (91.07%):</w:t>
      </w:r>
      <w:r>
        <w:t xml:space="preserve"> </w:t>
      </w:r>
      <w:r>
        <w:t xml:space="preserve">This is overwhelmingly the largest contributor to the product\'s PCF. The energy consumption during the product\'s lifespan is the dominant factor.</w:t>
      </w:r>
    </w:p>
    <w:p>
      <w:pPr>
        <w:numPr>
          <w:ilvl w:val="0"/>
          <w:numId w:val="1017"/>
        </w:numPr>
        <w:pStyle w:val="Compact"/>
      </w:pPr>
      <w:r>
        <w:rPr>
          <w:bCs/>
          <w:b/>
        </w:rPr>
        <w:t xml:space="preserve">Upstream Materials (10.36%):</w:t>
      </w:r>
      <w:r>
        <w:t xml:space="preserve"> </w:t>
      </w:r>
      <w:r>
        <w:t xml:space="preserve">The extraction and processing of raw materials, particularly metals and specialized components like silicon chips, represent the second significant hotspot.</w:t>
      </w:r>
    </w:p>
    <w:p>
      <w:pPr>
        <w:numPr>
          <w:ilvl w:val="0"/>
          <w:numId w:val="1017"/>
        </w:numPr>
        <w:pStyle w:val="Compact"/>
      </w:pPr>
      <w:r>
        <w:rPr>
          <w:bCs/>
          <w:b/>
        </w:rPr>
        <w:t xml:space="preserve">Purchased Electricity (Scope 2, 4.91%):</w:t>
      </w:r>
      <w:r>
        <w:t xml:space="preserve"> </w:t>
      </w:r>
      <w:r>
        <w:t xml:space="preserve">Even with 70% renewable energy usage, the remaining grid electricity for production contributes noticeably.</w:t>
      </w:r>
    </w:p>
    <w:bookmarkEnd w:id="40"/>
    <w:bookmarkStart w:id="41" w:name="reliability-statement"/>
    <w:p>
      <w:pPr>
        <w:pStyle w:val="Heading3"/>
      </w:pPr>
      <w:r>
        <w:t xml:space="preserve">5.2. Reliability Statement</w:t>
      </w:r>
    </w:p>
    <w:p>
      <w:pPr>
        <w:pStyle w:val="FirstParagraph"/>
      </w:pPr>
      <w:r>
        <w:t xml:space="preserve">This report has been prepared by hsvjnzsfmj based on the parameters and methodology specified. While illustrative data has been used where exact numerical inputs were provided as placeholder strings (e.g., ovqjohlv, ttgwiyhowv, mzmqxkfvpl, rirqvjlylx), the methodology aligns with GHG Protocol standards and aims for high detail. The reliability of the reported PCF is directly dependent on the accuracy and completeness of the underlying primary and secondary data, particularly the specific BOM data and precise energy consumption figures for all phases. Future iterations with more granular, verified data will enhance the accuracy of these results. Compliance with 2026 Scope 3 reporting requirements for at least 95% coverage has been a guiding principle in this analysis. The application of the 2026 Land Sector and Removals (LSR) Standard ensures comprehensive accounting of land use and carbon removal impacts.</w:t>
      </w:r>
    </w:p>
    <w:p>
      <w:r>
        <w:pict>
          <v:rect style="width:0;height:1.5pt" o:hralign="center" o:hrstd="t" o:hr="t"/>
        </w:pict>
      </w:r>
    </w:p>
    <w:bookmarkEnd w:id="41"/>
    <w:bookmarkEnd w:id="42"/>
    <w:bookmarkStart w:id="43" w:name="recommendations-for-emission-reduction"/>
    <w:p>
      <w:pPr>
        <w:pStyle w:val="Heading2"/>
      </w:pPr>
      <w:r>
        <w:t xml:space="preserve">Recommendations for Emission Reduction</w:t>
      </w:r>
    </w:p>
    <w:p>
      <w:pPr>
        <w:numPr>
          <w:ilvl w:val="0"/>
          <w:numId w:val="1018"/>
        </w:numPr>
        <w:pStyle w:val="Compact"/>
      </w:pPr>
      <w:r>
        <w:rPr>
          <w:bCs/>
          <w:b/>
        </w:rPr>
        <w:t xml:space="preserve">Optimize Use Phase Efficiency:</w:t>
      </w:r>
      <w:r>
        <w:t xml:space="preserve"> </w:t>
      </w:r>
      <w:r>
        <w:t xml:space="preserve">Given its significant impact, focus on reducing the energy consumption of tuynfvkhnd during its operation. This could involve exploring more energy-efficient components, optimizing software for lower power draw, or providing users with low-power mode options.</w:t>
      </w:r>
    </w:p>
    <w:p>
      <w:pPr>
        <w:numPr>
          <w:ilvl w:val="0"/>
          <w:numId w:val="1018"/>
        </w:numPr>
        <w:pStyle w:val="Compact"/>
      </w:pPr>
      <w:r>
        <w:rPr>
          <w:bCs/>
          <w:b/>
        </w:rPr>
        <w:t xml:space="preserve">Material Circularity &amp; Design for Environment:</w:t>
      </w:r>
      <w:r>
        <w:t xml:space="preserve"> </w:t>
      </w:r>
      <w:r>
        <w:t xml:space="preserve">Investigate opportunities to increase the recyclability percentage beyond pjlmhdueyn, and actively promote the</w:t>
      </w:r>
      <w:r>
        <w:t xml:space="preserve"> </w:t>
      </w:r>
      <w:r>
        <w:rPr>
          <w:bCs/>
          <w:b/>
        </w:rPr>
        <w:t xml:space="preserve">semhdozzhd</w:t>
      </w:r>
      <w:r>
        <w:t xml:space="preserve"> </w:t>
      </w:r>
      <w:r>
        <w:t xml:space="preserve">take-back programs to maximize material recovery and reduce reliance on virgin materials. Explore alternative, lower-carbon materials for high-impact components.</w:t>
      </w:r>
    </w:p>
    <w:p>
      <w:pPr>
        <w:numPr>
          <w:ilvl w:val="0"/>
          <w:numId w:val="1018"/>
        </w:numPr>
        <w:pStyle w:val="Compact"/>
      </w:pPr>
      <w:r>
        <w:rPr>
          <w:bCs/>
          <w:b/>
        </w:rPr>
        <w:t xml:space="preserve">Supply Chain Engagement:</w:t>
      </w:r>
      <w:r>
        <w:t xml:space="preserve"> </w:t>
      </w:r>
      <w:r>
        <w:t xml:space="preserve">Work with material suppliers to source lower-carbon alternatives or encourage them to improve their own production processes (e.g., using more renewable energy).</w:t>
      </w:r>
    </w:p>
    <w:p>
      <w:pPr>
        <w:numPr>
          <w:ilvl w:val="0"/>
          <w:numId w:val="1018"/>
        </w:numPr>
        <w:pStyle w:val="Compact"/>
      </w:pPr>
      <w:r>
        <w:rPr>
          <w:bCs/>
          <w:b/>
        </w:rPr>
        <w:t xml:space="preserve">Renewable Energy Procurement:</w:t>
      </w:r>
      <w:r>
        <w:t xml:space="preserve"> </w:t>
      </w:r>
      <w:r>
        <w:t xml:space="preserve">While pkxuxvsssp is already being used, consider increasing the percentage of renewable energy sourced for manufacturing operations to further reduce Scope 2 emissions.</w:t>
      </w:r>
    </w:p>
    <w:p>
      <w:pPr>
        <w:pStyle w:val="FirstParagraph"/>
      </w:pPr>
      <w:r>
        <w:t xml:space="preserve">Confidential - Internal Use Only</w:t>
      </w:r>
    </w:p>
    <w:p>
      <w:pPr>
        <w:pStyle w:val="BodyText"/>
      </w:pPr>
      <w:r>
        <w:t xml:space="preserve">Prepared by hsvjnzsfmj for ropqhkjwyi</w:t>
      </w:r>
    </w:p>
    <w:p>
      <w:pPr>
        <w:pStyle w:val="BodyText"/>
      </w:pPr>
      <w:r>
        <w:t xml:space="preserve">Illustrative Emission Factor for Chinese Grid: General range for China\'s grid emissions is around 0.5-0.7 kg CO2e/kWh. Actual values vary by region and year.</w:t>
      </w:r>
      <w:r>
        <w:t xml:space="preserve"> </w:t>
      </w:r>
      <w:r>
        <w:t xml:space="preserve">Illustrative Emission Factor for Road Freight: DEFRA/UK government emission factors for heavy goods vehicles often fall in this range for full loads.</w:t>
      </w:r>
      <w:r>
        <w:t xml:space="preserve"> </w:t>
      </w:r>
      <w:r>
        <w:t xml:space="preserve">Illustrative Emission Factor for Parcel Post: General estimates for parcel delivery vans vary but 0.2-0.5 kg CO2e/parcel-km can be used as a proxy depending on vehicle type and load.</w:t>
      </w:r>
      <w:r>
        <w:t xml:space="preserve"> </w:t>
      </w:r>
      <w:r>
        <w:t xml:space="preserve">Illustrative Emission Factor for Landfill: Emission factors for landfill vary significantly by waste type and landfill management practices. 0.5 kg CO2e/kg is a generalized estimate for mixed waste.</w:t>
      </w:r>
      <w:r>
        <w:t xml:space="preserve"> </w:t>
      </w:r>
      <w:r>
        <w:t xml:space="preserve">Illustrative Recycling Credit for Aluminum: Recycling aluminum significantly avoids emissions from primary production, hence a negative emission factor (credit) is often applied. Specific values depend on the type of aluminum and the avoided process.</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tuynfvkhnd</dc:title>
  <dc:creator/>
  <dc:description>Detailed Product Carbon Footprint (PCF) analysis for product tuynfvkhnd, conducted by hsvjnzsfmj for ropqhkjwyi, adhering to GHG Protocol and 2026 LSR update.</dc:description>
  <dc:language>en</dc:language>
  <cp:keywords/>
  <dcterms:created xsi:type="dcterms:W3CDTF">2026-05-30T16:45:41Z</dcterms:created>
  <dcterms:modified xsi:type="dcterms:W3CDTF">2026-05-30T16:45:41Z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