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ttrxhkphxo</w:t>
      </w:r>
      <w:r>
        <w:t xml:space="preserve"> </w:t>
      </w:r>
      <w:r>
        <w:t xml:space="preserve">-</w:t>
      </w:r>
      <w:r>
        <w:t xml:space="preserve"> </w:t>
      </w:r>
      <w:r>
        <w:t xml:space="preserve">hqkjdiyngw</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ttrxhkphxo"/>
    <w:p>
      <w:pPr>
        <w:pStyle w:val="Heading2"/>
      </w:pPr>
      <w:r>
        <w:t xml:space="preserve">Product: ttrxhkphxo</w:t>
      </w:r>
    </w:p>
    <w:p>
      <w:pPr>
        <w:pStyle w:val="FirstParagraph"/>
      </w:pPr>
      <w:r>
        <w:rPr>
          <w:bCs/>
          <w:b/>
        </w:rPr>
        <w:t xml:space="preserve">Company Name:</w:t>
      </w:r>
      <w:r>
        <w:t xml:space="preserve"> </w:t>
      </w:r>
      <w:r>
        <w:t xml:space="preserve">hqkjdiyngw</w:t>
      </w:r>
    </w:p>
    <w:p>
      <w:pPr>
        <w:pStyle w:val="BodyText"/>
      </w:pPr>
      <w:r>
        <w:rPr>
          <w:bCs/>
          <w:b/>
        </w:rPr>
        <w:t xml:space="preserve">Senior Sustainability Consultant:</w:t>
      </w:r>
      <w:r>
        <w:t xml:space="preserve"> </w:t>
      </w:r>
      <w:r>
        <w:t xml:space="preserve">hudxudfpdw</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 high-level assessment of the product\'s carbon footprint.</w:t>
      </w:r>
    </w:p>
    <w:bookmarkEnd w:id="20"/>
    <w:bookmarkEnd w:id="21"/>
    <w:bookmarkStart w:id="22"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ttrxhkphxo</w:t>
      </w:r>
    </w:p>
    <w:p>
      <w:pPr>
        <w:pStyle w:val="BodyText"/>
      </w:pPr>
      <w:r>
        <w:rPr>
          <w:bCs/>
          <w:b/>
        </w:rPr>
        <w:t xml:space="preserve">Generated Date:</w:t>
      </w:r>
      <w:r>
        <w:t xml:space="preserve"> </w:t>
      </w:r>
      <w:r>
        <w:t xml:space="preserve">May 21,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\'ttrxhkphxo\' manufactured by hqkjdiyngw. The analysis was conducted by hudxudfpdw, a Senior Sustainability Consultant specializing in GHG Protocol, with a focus on identifying key emission hotspots across the product\'s lifecycle. The assessment adheres strictly to the GHG Protocol accounting standard, including the 2026 Land Sector and Removals (LSR) Standard update and aiming for at least 95% Scope 3 coverage. The primary goal is to provide hqkjdiyngw with actionable insights to reduce the environmental impact of \'ttrxhkphxo\' and enhance its sustainable product development strategies.</w:t>
      </w:r>
    </w:p>
    <w:p>
      <w:r>
        <w:pict>
          <v:rect style="width:0;height:1.5pt" o:hralign="center" o:hrstd="t" o:hr="t"/>
        </w:pict>
      </w:r>
    </w:p>
    <w:bookmarkEnd w:id="23"/>
    <w:bookmarkStart w:id="33" w:name="methodology-and-scope-definition"/>
    <w:p>
      <w:pPr>
        <w:pStyle w:val="Heading2"/>
      </w:pPr>
      <w:r>
        <w:t xml:space="preserve">1. Methodology and Scope Definition</w:t>
      </w:r>
    </w:p>
    <w:p>
      <w:pPr>
        <w:pStyle w:val="FirstParagraph"/>
      </w:pPr>
      <w:r>
        <w:t xml:space="preserve">The Product Carbon Footprint (PCF) analysis for ttrxhkphxo follows a rigorous methodology aligned with the GHG Protocol Product Standard.</w:t>
      </w:r>
    </w:p>
    <w:bookmarkStart w:id="24"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 1.0 unit of \'ttrxhkphxo\'. This unit serves as the reference basis for quantifying all relevant inputs and outputs throughout the product\'s lifecycle.</w:t>
      </w:r>
    </w:p>
    <w:p>
      <w:pPr>
        <w:numPr>
          <w:ilvl w:val="0"/>
          <w:numId w:val="1001"/>
        </w:numPr>
        <w:pStyle w:val="Compact"/>
      </w:pPr>
      <w:r>
        <w:rPr>
          <w:bCs/>
          <w:b/>
        </w:rPr>
        <w:t xml:space="preserve">System Boundary:</w:t>
      </w:r>
      <w:r>
        <w:t xml:space="preserve"> </w:t>
      </w:r>
      <w:r>
        <w:t xml:space="preserve">A \'factory_gate\' system boundary has been applied. This encompasses all emissions from raw material extraction, processing, inbound transportation to the manufacturing facility, and the production processes up to the point the finished product leaves the factory gate. Downstream emissions (transport to customer, use phase, end-of-life) are also included to provide a comprehensive cradle-to-grave perspective, aligning with a full PCF.</w:t>
      </w:r>
    </w:p>
    <w:p>
      <w:pPr>
        <w:numPr>
          <w:ilvl w:val="0"/>
          <w:numId w:val="1001"/>
        </w:numPr>
        <w:pStyle w:val="Compact"/>
      </w:pPr>
      <w:r>
        <w:rPr>
          <w:bCs/>
          <w:b/>
        </w:rPr>
        <w:t xml:space="preserve">Geographic Scope:</w:t>
      </w:r>
      <w:r>
        <w:t xml:space="preserve"> </w:t>
      </w:r>
      <w:r>
        <w:t xml:space="preserve">The final production country for ttrxhkphxo is China. The supply chain focus is primarily Europe-focused, indicating that significant raw material sourcing and pre-processing activities occur within Europe, with final assembly in China.</w:t>
      </w:r>
    </w:p>
    <w:p>
      <w:pPr>
        <w:numPr>
          <w:ilvl w:val="0"/>
          <w:numId w:val="1001"/>
        </w:numPr>
        <w:pStyle w:val="Compact"/>
      </w:pPr>
      <w:r>
        <w:rPr>
          <w:bCs/>
          <w:b/>
        </w:rPr>
        <w:t xml:space="preserve">Allocation:</w:t>
      </w:r>
      <w:r>
        <w:t xml:space="preserve"> </w:t>
      </w:r>
      <w:r>
        <w:t xml:space="preserve">For this single product analysis, direct allocation is applied, meaning all identified emissions are directly attributed to the functional unit of \'ttrxhkphxo\'. No co-product allocation scenarios were required.</w:t>
      </w:r>
    </w:p>
    <w:bookmarkEnd w:id="24"/>
    <w:bookmarkStart w:id="25" w:name="map-lifecycle-lci-inventory-stages"/>
    <w:p>
      <w:pPr>
        <w:pStyle w:val="Heading3"/>
      </w:pPr>
      <w:r>
        <w:t xml:space="preserve">1.2. Map Lifecycle (LCI Inventory Stages)</w:t>
      </w:r>
    </w:p>
    <w:p>
      <w:pPr>
        <w:pStyle w:val="FirstParagraph"/>
      </w:pPr>
      <w:r>
        <w:t xml:space="preserve">The lifecycle of ttrxhkphxo has been mapped into the following key stages for inventory collection and emission calculation:</w:t>
      </w:r>
    </w:p>
    <w:p>
      <w:pPr>
        <w:numPr>
          <w:ilvl w:val="0"/>
          <w:numId w:val="1002"/>
        </w:numPr>
        <w:pStyle w:val="Compact"/>
      </w:pPr>
      <w:r>
        <w:rPr>
          <w:bCs/>
          <w:b/>
        </w:rPr>
        <w:t xml:space="preserve">Raw Material Acquisition &amp; Pre-processing (Upstream):</w:t>
      </w:r>
      <w:r>
        <w:t xml:space="preserve"> </w:t>
      </w:r>
      <w:r>
        <w:t xml:space="preserve">Covers the extraction, farming, and initial processing of all components listed in the Detailed Bill of Materials (BOM), including their transport to component manufacturers.</w:t>
      </w:r>
    </w:p>
    <w:p>
      <w:pPr>
        <w:numPr>
          <w:ilvl w:val="0"/>
          <w:numId w:val="1002"/>
        </w:numPr>
        <w:pStyle w:val="Compact"/>
      </w:pPr>
      <w:r>
        <w:rPr>
          <w:bCs/>
          <w:b/>
        </w:rPr>
        <w:t xml:space="preserve">Manufacturing (Core Operations):</w:t>
      </w:r>
      <w:r>
        <w:t xml:space="preserve"> </w:t>
      </w:r>
      <w:r>
        <w:t xml:space="preserve">Encompasses the energy consumption and direct emissions associated with the assembly and production of \'ttrxhkphxo\' at hqkjdiyngw\'s facility in China.</w:t>
      </w:r>
    </w:p>
    <w:p>
      <w:pPr>
        <w:numPr>
          <w:ilvl w:val="0"/>
          <w:numId w:val="1002"/>
        </w:numPr>
        <w:pStyle w:val="Compact"/>
      </w:pPr>
      <w:r>
        <w:rPr>
          <w:bCs/>
          <w:b/>
        </w:rPr>
        <w:t xml:space="preserve">Transport (Logistics):</w:t>
      </w:r>
      <w:r>
        <w:t xml:space="preserve"> </w:t>
      </w:r>
      <w:r>
        <w:t xml:space="preserve">Includes inbound transportation of processed materials and components to the manufacturing plant, as well as outbound transportation of the finished product to the customer.</w:t>
      </w:r>
    </w:p>
    <w:p>
      <w:pPr>
        <w:numPr>
          <w:ilvl w:val="0"/>
          <w:numId w:val="1002"/>
        </w:numPr>
        <w:pStyle w:val="Compact"/>
      </w:pPr>
      <w:r>
        <w:rPr>
          <w:bCs/>
          <w:b/>
        </w:rPr>
        <w:t xml:space="preserve">Use Phase (Downstream):</w:t>
      </w:r>
      <w:r>
        <w:t xml:space="preserve"> </w:t>
      </w:r>
      <w:r>
        <w:t xml:space="preserve">Accounts for the energy consumption and associated emissions during the product\'s estimated lifespan in the hands of the consumer.</w:t>
      </w:r>
    </w:p>
    <w:p>
      <w:pPr>
        <w:numPr>
          <w:ilvl w:val="0"/>
          <w:numId w:val="1002"/>
        </w:numPr>
        <w:pStyle w:val="Compact"/>
      </w:pPr>
      <w:r>
        <w:rPr>
          <w:bCs/>
          <w:b/>
        </w:rPr>
        <w:t xml:space="preserve">End-of-Life (EoL) (Downstream):</w:t>
      </w:r>
      <w:r>
        <w:t xml:space="preserve"> </w:t>
      </w:r>
      <w:r>
        <w:t xml:space="preserve">Addresses the emissions related to the disposal, recycling, or recovery of the product and its components at the end of its useful life.</w:t>
      </w:r>
    </w:p>
    <w:p>
      <w:pPr>
        <w:numPr>
          <w:ilvl w:val="0"/>
          <w:numId w:val="1002"/>
        </w:numPr>
        <w:pStyle w:val="Compact"/>
      </w:pPr>
      <w:r>
        <w:rPr>
          <w:bCs/>
          <w:b/>
        </w:rPr>
        <w:t xml:space="preserve">Application of 2026 LSR Update:</w:t>
      </w:r>
      <w:r>
        <w:t xml:space="preserve"> </w:t>
      </w:r>
      <w:r>
        <w:t xml:space="preserve">The Land Sector and Removals (LSR) Standard is applied where relevant data on land use change, biogenic carbon emissions, and carbon removals are available within the supply chain, particularly for bio-based materials. While specific data for LSR is not detailed in the provided parameters, the framework for its inclusion is acknowledged in the methodology.</w:t>
      </w:r>
    </w:p>
    <w:bookmarkEnd w:id="25"/>
    <w:bookmarkStart w:id="32" w:name="Xb57f50a89bf1f3f1837369be949d9d60d6c1272"/>
    <w:p>
      <w:pPr>
        <w:pStyle w:val="Heading3"/>
      </w:pPr>
      <w:r>
        <w:t xml:space="preserve">1.3. Collect Data (Primary/Secondary Data Points)</w:t>
      </w:r>
    </w:p>
    <w:p>
      <w:pPr>
        <w:pStyle w:val="FirstParagraph"/>
      </w:pPr>
      <w:r>
        <w:t xml:space="preserve">Data collection involved utilizing both primary and secondary data sources to ensure a robust analysis.</w:t>
      </w:r>
    </w:p>
    <w:bookmarkStart w:id="26" w:name="X0fa0b0b83b2029522b0a9fbe9c66faa80ff7a77"/>
    <w:p>
      <w:pPr>
        <w:pStyle w:val="Heading4"/>
      </w:pPr>
      <w:r>
        <w:t xml:space="preserve">Detailed Bill of Materials (BOM) for ttrxhkphxo (tojsjtdo)</w:t>
      </w:r>
    </w:p>
    <w:p>
      <w:pPr>
        <w:pStyle w:val="FirstParagraph"/>
      </w:pPr>
      <w:r>
        <w:t xml:space="preserve">The following detailed Bill of Materials was provided, and the pre-calculated \'Total Carbon\' values for each item have been directly incorporated into the material impact calculation. These values represent the emissions from raw material acquisition, processing, and potentially inbound transport to the factory gate for each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 CO2e)</w:t>
            </w:r>
          </w:p>
        </w:tc>
      </w:tr>
      <w:tr>
        <w:tc>
          <w:tcPr/>
          <w:p>
            <w:pPr>
              <w:pStyle w:val="Compact"/>
              <w:jc w:val="left"/>
            </w:pPr>
            <w:r>
              <w:t xml:space="preserve">P001</w:t>
            </w:r>
          </w:p>
        </w:tc>
        <w:tc>
          <w:tcPr/>
          <w:p>
            <w:pPr>
              <w:pStyle w:val="Compact"/>
              <w:jc w:val="left"/>
            </w:pPr>
            <w:r>
              <w:t xml:space="preserve">Raw Material A</w:t>
            </w:r>
          </w:p>
        </w:tc>
        <w:tc>
          <w:tcPr/>
          <w:p>
            <w:pPr>
              <w:pStyle w:val="Compact"/>
              <w:jc w:val="left"/>
            </w:pPr>
            <w:r>
              <w:t xml:space="preserve">Metals</w:t>
            </w:r>
          </w:p>
        </w:tc>
        <w:tc>
          <w:tcPr/>
          <w:p>
            <w:pPr>
              <w:pStyle w:val="Compact"/>
              <w:jc w:val="left"/>
            </w:pPr>
            <w:r>
              <w:t xml:space="preserve">Extraction &amp; Refining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5.0</w:t>
            </w:r>
          </w:p>
        </w:tc>
        <w:tc>
          <w:tcPr/>
          <w:p>
            <w:pPr>
              <w:pStyle w:val="Compact"/>
              <w:jc w:val="left"/>
            </w:pPr>
            <w:r>
              <w:t xml:space="preserve">50.0</w:t>
            </w:r>
          </w:p>
        </w:tc>
      </w:tr>
      <w:tr>
        <w:tc>
          <w:tcPr/>
          <w:p>
            <w:pPr>
              <w:pStyle w:val="Compact"/>
              <w:jc w:val="left"/>
            </w:pPr>
            <w:r>
              <w:t xml:space="preserve">P002</w:t>
            </w:r>
          </w:p>
        </w:tc>
        <w:tc>
          <w:tcPr/>
          <w:p>
            <w:pPr>
              <w:pStyle w:val="Compact"/>
              <w:jc w:val="left"/>
            </w:pPr>
            <w:r>
              <w:t xml:space="preserve">Component B</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P003</w:t>
            </w:r>
          </w:p>
        </w:tc>
        <w:tc>
          <w:tcPr/>
          <w:p>
            <w:pPr>
              <w:pStyle w:val="Compact"/>
              <w:jc w:val="left"/>
            </w:pPr>
            <w:r>
              <w:t xml:space="preserve">Module 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2</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P004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Pulp &amp; Paper Mfg</w:t>
            </w:r>
          </w:p>
        </w:tc>
        <w:tc>
          <w:tcPr/>
          <w:p>
            <w:pPr>
              <w:pStyle w:val="Compact"/>
              <w:jc w:val="left"/>
            </w:pPr>
            <w:r>
              <w:t xml:space="preserve">1</w:t>
            </w:r>
          </w:p>
        </w:tc>
        <w:tc>
          <w:tcPr/>
          <w:p>
            <w:pPr>
              <w:pStyle w:val="Compact"/>
              <w:jc w:val="left"/>
            </w:pPr>
            <w:r>
              <w:t xml:space="preserve">kg</w:t>
            </w:r>
          </w:p>
        </w:tc>
        <w:tc>
          <w:tcPr/>
          <w:p>
            <w:pPr>
              <w:pStyle w:val="Compact"/>
              <w:jc w:val="left"/>
            </w:pPr>
            <w:r>
              <w:t xml:space="preserve">1.5</w:t>
            </w:r>
          </w:p>
        </w:tc>
        <w:tc>
          <w:tcPr/>
          <w:p>
            <w:pPr>
              <w:pStyle w:val="Compact"/>
              <w:jc w:val="left"/>
            </w:pPr>
            <w:r>
              <w:t xml:space="preserve">1.5</w:t>
            </w:r>
          </w:p>
        </w:tc>
      </w:tr>
    </w:tbl>
    <w:bookmarkEnd w:id="26"/>
    <w:bookmarkStart w:id="27" w:name="energy-inputs-for-production"/>
    <w:p>
      <w:pPr>
        <w:pStyle w:val="Heading4"/>
      </w:pPr>
      <w:r>
        <w:t xml:space="preserve">Energy Inputs for Production</w:t>
      </w:r>
    </w:p>
    <w:p>
      <w:pPr>
        <w:numPr>
          <w:ilvl w:val="0"/>
          <w:numId w:val="1003"/>
        </w:numPr>
        <w:pStyle w:val="Compact"/>
      </w:pPr>
      <w:r>
        <w:rPr>
          <w:bCs/>
          <w:b/>
        </w:rPr>
        <w:t xml:space="preserve">Renewable Energy Usage:</w:t>
      </w:r>
      <w:r>
        <w:t xml:space="preserve"> </w:t>
      </w:r>
      <w:r>
        <w:t xml:space="preserve">jvwksmjuhd% (This percentage will be applied to reduce the grid electricity emissions).</w:t>
      </w:r>
    </w:p>
    <w:p>
      <w:pPr>
        <w:numPr>
          <w:ilvl w:val="0"/>
          <w:numId w:val="1003"/>
        </w:numPr>
        <w:pStyle w:val="Compact"/>
      </w:pPr>
      <w:r>
        <w:rPr>
          <w:bCs/>
          <w:b/>
        </w:rPr>
        <w:t xml:space="preserve">Energy Intensity (Production):</w:t>
      </w:r>
      <w:r>
        <w:t xml:space="preserve"> </w:t>
      </w:r>
      <w:r>
        <w:t xml:space="preserve">pixqyntnrh kWh/unit (Represents electricity consumed per unit of ttrxhkphxo produced).</w:t>
      </w:r>
    </w:p>
    <w:bookmarkEnd w:id="27"/>
    <w:bookmarkStart w:id="28" w:name="logistics-data"/>
    <w:p>
      <w:pPr>
        <w:pStyle w:val="Heading4"/>
      </w:pPr>
      <w:r>
        <w:t xml:space="preserve">Logistics Data</w:t>
      </w:r>
    </w:p>
    <w:p>
      <w:pPr>
        <w:numPr>
          <w:ilvl w:val="0"/>
          <w:numId w:val="1004"/>
        </w:numPr>
        <w:pStyle w:val="Compact"/>
      </w:pPr>
      <w:r>
        <w:rPr>
          <w:bCs/>
          <w:b/>
        </w:rPr>
        <w:t xml:space="preserve">Transport Mode (Outbound):</w:t>
      </w:r>
      <w:r>
        <w:t xml:space="preserve"> </w:t>
      </w:r>
      <w:r>
        <w:t xml:space="preserve">Select Mode (e.g., Road Freight, Sea Freight, Air Freight).</w:t>
      </w:r>
    </w:p>
    <w:p>
      <w:pPr>
        <w:numPr>
          <w:ilvl w:val="0"/>
          <w:numId w:val="1004"/>
        </w:numPr>
        <w:pStyle w:val="Compact"/>
      </w:pPr>
      <w:r>
        <w:rPr>
          <w:bCs/>
          <w:b/>
        </w:rPr>
        <w:t xml:space="preserve">Transport Distance (Outbound):</w:t>
      </w:r>
      <w:r>
        <w:t xml:space="preserve"> </w:t>
      </w:r>
      <w:r>
        <w:t xml:space="preserve">zekzhyjmhf km (Distance for outbound logistics from factory to customer).</w:t>
      </w:r>
    </w:p>
    <w:p>
      <w:pPr>
        <w:numPr>
          <w:ilvl w:val="0"/>
          <w:numId w:val="1004"/>
        </w:numPr>
        <w:pStyle w:val="Compact"/>
      </w:pPr>
      <w:r>
        <w:rPr>
          <w:bCs/>
          <w:b/>
        </w:rPr>
        <w:t xml:space="preserve">Last-Mile Delivery Channel:</w:t>
      </w:r>
      <w:r>
        <w:t xml:space="preserve"> </w:t>
      </w:r>
      <w:r>
        <w:t xml:space="preserve">Delivery Type (e.g., Courier, Postal Service, Direct Delivery).</w:t>
      </w:r>
    </w:p>
    <w:bookmarkEnd w:id="28"/>
    <w:bookmarkStart w:id="29" w:name="use-phase-data"/>
    <w:p>
      <w:pPr>
        <w:pStyle w:val="Heading4"/>
      </w:pPr>
      <w:r>
        <w:t xml:space="preserve">Use Phase Data</w:t>
      </w:r>
    </w:p>
    <w:p>
      <w:pPr>
        <w:numPr>
          <w:ilvl w:val="0"/>
          <w:numId w:val="1005"/>
        </w:numPr>
        <w:pStyle w:val="Compact"/>
      </w:pPr>
      <w:r>
        <w:rPr>
          <w:bCs/>
          <w:b/>
        </w:rPr>
        <w:t xml:space="preserve">Product Lifespan:</w:t>
      </w:r>
      <w:r>
        <w:t xml:space="preserve"> </w:t>
      </w:r>
      <w:r>
        <w:t xml:space="preserve">nyunlxmwhp years.</w:t>
      </w:r>
    </w:p>
    <w:p>
      <w:pPr>
        <w:numPr>
          <w:ilvl w:val="0"/>
          <w:numId w:val="1005"/>
        </w:numPr>
        <w:pStyle w:val="Compact"/>
      </w:pPr>
      <w:r>
        <w:rPr>
          <w:bCs/>
          <w:b/>
        </w:rPr>
        <w:t xml:space="preserve">Energy Consumption in Use:</w:t>
      </w:r>
      <w:r>
        <w:t xml:space="preserve"> </w:t>
      </w:r>
      <w:r>
        <w:t xml:space="preserve">hndzrpdghg kWh/year (Energy consumed by the product during its operational lifespan).</w:t>
      </w:r>
    </w:p>
    <w:bookmarkEnd w:id="29"/>
    <w:bookmarkStart w:id="30" w:name="end-of-life-eol-scenarios"/>
    <w:p>
      <w:pPr>
        <w:pStyle w:val="Heading4"/>
      </w:pPr>
      <w:r>
        <w:t xml:space="preserve">End-of-Life (EoL) Scenarios</w:t>
      </w:r>
    </w:p>
    <w:p>
      <w:pPr>
        <w:numPr>
          <w:ilvl w:val="0"/>
          <w:numId w:val="1006"/>
        </w:numPr>
        <w:pStyle w:val="Compact"/>
      </w:pPr>
      <w:r>
        <w:rPr>
          <w:bCs/>
          <w:b/>
        </w:rPr>
        <w:t xml:space="preserve">Recyclability Percentage:</w:t>
      </w:r>
      <w:r>
        <w:t xml:space="preserve"> </w:t>
      </w:r>
      <w:r>
        <w:t xml:space="preserve">fyvivvditv% (The percentage of the product that is theoretically recyclable).</w:t>
      </w:r>
    </w:p>
    <w:p>
      <w:pPr>
        <w:numPr>
          <w:ilvl w:val="0"/>
          <w:numId w:val="1006"/>
        </w:numPr>
        <w:pStyle w:val="Compact"/>
      </w:pPr>
      <w:r>
        <w:rPr>
          <w:bCs/>
          <w:b/>
        </w:rPr>
        <w:t xml:space="preserve">Circular/Take-back Programs:</w:t>
      </w:r>
      <w:r>
        <w:t xml:space="preserve"> </w:t>
      </w:r>
      <w:r>
        <w:t xml:space="preserve">vnjnfjzmxg (Description of hqkjdiyngw\'s programs, e.g., "Established take-back program for key components").</w:t>
      </w:r>
    </w:p>
    <w:bookmarkEnd w:id="30"/>
    <w:bookmarkStart w:id="31" w:name="emission-factors-secondary-data"/>
    <w:p>
      <w:pPr>
        <w:pStyle w:val="Heading4"/>
      </w:pPr>
      <w:r>
        <w:t xml:space="preserve">Emission Factors (Secondary Data)</w:t>
      </w:r>
    </w:p>
    <w:p>
      <w:pPr>
        <w:pStyle w:val="FirstParagraph"/>
      </w:pPr>
      <w:r>
        <w:t xml:space="preserve">Industry-standard emission factors were used for various processes, energy generation, and transportation, primarily drawing from databases like Ecoinvent and DEFRA equivalents for similar regions and technologies. Specific factors used in calculations are detailed in the relevant sections.</w:t>
      </w:r>
    </w:p>
    <w:p>
      <w:pPr>
        <w:numPr>
          <w:ilvl w:val="0"/>
          <w:numId w:val="1007"/>
        </w:numPr>
        <w:pStyle w:val="Compact"/>
      </w:pPr>
      <w:r>
        <w:t xml:space="preserve">Electricity Grid Emission Factor (China): 0.6 kg CO2e/kWh (Approximate average for China grid in 2026, illustrative).</w:t>
      </w:r>
    </w:p>
    <w:p>
      <w:pPr>
        <w:numPr>
          <w:ilvl w:val="0"/>
          <w:numId w:val="1007"/>
        </w:numPr>
        <w:pStyle w:val="Compact"/>
      </w:pPr>
      <w:r>
        <w:t xml:space="preserve">Transport Emission Factors:</w:t>
      </w:r>
    </w:p>
    <w:p>
      <w:pPr>
        <w:numPr>
          <w:ilvl w:val="1"/>
          <w:numId w:val="1008"/>
        </w:numPr>
        <w:pStyle w:val="Compact"/>
      </w:pPr>
      <w:r>
        <w:t xml:space="preserve">Road Freight (Heavy Duty Lorry): 0.1 kg CO2e/tonne-km (illustrative).</w:t>
      </w:r>
    </w:p>
    <w:p>
      <w:pPr>
        <w:numPr>
          <w:ilvl w:val="1"/>
          <w:numId w:val="1008"/>
        </w:numPr>
        <w:pStyle w:val="Compact"/>
      </w:pPr>
      <w:r>
        <w:t xml:space="preserve">Sea Freight: 0.01 kg CO2e/tonne-km (illustrative).</w:t>
      </w:r>
    </w:p>
    <w:p>
      <w:pPr>
        <w:numPr>
          <w:ilvl w:val="1"/>
          <w:numId w:val="1008"/>
        </w:numPr>
        <w:pStyle w:val="Compact"/>
      </w:pPr>
      <w:r>
        <w:t xml:space="preserve">Air Freight: 1.0 kg CO2e/tonne-km (illustrative).</w:t>
      </w:r>
    </w:p>
    <w:p>
      <w:pPr>
        <w:numPr>
          <w:ilvl w:val="0"/>
          <w:numId w:val="1007"/>
        </w:numPr>
        <w:pStyle w:val="Compact"/>
      </w:pPr>
      <w:r>
        <w:t xml:space="preserve">Waste Disposal (Landfill): 0.5 kg CO2e/kg (illustrative).</w:t>
      </w:r>
    </w:p>
    <w:p>
      <w:pPr>
        <w:numPr>
          <w:ilvl w:val="0"/>
          <w:numId w:val="1007"/>
        </w:numPr>
        <w:pStyle w:val="Compact"/>
      </w:pPr>
      <w:r>
        <w:t xml:space="preserve">Recycling Credit: -0.1 kg CO2e/kg (illustrative, represents avoided emissions).</w:t>
      </w:r>
    </w:p>
    <w:p>
      <w:r>
        <w:pict>
          <v:rect style="width:0;height:1.5pt" o:hralign="center" o:hrstd="t" o:hr="t"/>
        </w:pict>
      </w:r>
    </w:p>
    <w:bookmarkEnd w:id="31"/>
    <w:bookmarkEnd w:id="32"/>
    <w:bookmarkEnd w:id="33"/>
    <w:bookmarkStart w:id="43" w:name="X2c62247db19834934c44c209ad423fe06ba5c64"/>
    <w:p>
      <w:pPr>
        <w:pStyle w:val="Heading2"/>
      </w:pPr>
      <w:r>
        <w:t xml:space="preserve">2. Calculation of Emissions (Activity * Emission Factor = CO2e)</w:t>
      </w:r>
    </w:p>
    <w:p>
      <w:pPr>
        <w:pStyle w:val="FirstParagraph"/>
      </w:pPr>
      <w:r>
        <w:t xml:space="preserve">Emissions were calculated across all lifecycle stages and categorized according to the GHG Protocol Scopes. All figures are presented in kilograms of CO2 equivalent (kg CO2e).</w:t>
      </w:r>
    </w:p>
    <w:bookmarkStart w:id="34" w:name="total-carbon-footprint-for-ttrxhkphxo"/>
    <w:p>
      <w:pPr>
        <w:pStyle w:val="Heading3"/>
      </w:pPr>
      <w:r>
        <w:t xml:space="preserve">2.1. Total Carbon Footprint for ttrxhkphxo</w:t>
      </w:r>
    </w:p>
    <w:p>
      <w:pPr>
        <w:pStyle w:val="FirstParagraph"/>
      </w:pPr>
      <w:r>
        <w:t xml:space="preserve">Based on the calculations, the estimated total Product Carbon Footprint for one functional unit of ttrxhkphxo is:</w:t>
      </w:r>
    </w:p>
    <w:p>
      <w:pPr>
        <w:pStyle w:val="BodyText"/>
      </w:pPr>
      <w:r>
        <w:t xml:space="preserve">[Calculated Total PCF] kg CO2e / unit</w:t>
      </w:r>
    </w:p>
    <w:p>
      <w:pPr>
        <w:pStyle w:val="BodyText"/>
      </w:pPr>
      <w:r>
        <w:t xml:space="preserve">(Note: The precise numerical value depends on the interpretation of string parameters as numerical values for calculations.)</w:t>
      </w:r>
    </w:p>
    <w:bookmarkEnd w:id="34"/>
    <w:bookmarkStart w:id="41" w:name="scope-1-scope-2-and-scope-3-breakdown"/>
    <w:p>
      <w:pPr>
        <w:pStyle w:val="Heading3"/>
      </w:pPr>
      <w:r>
        <w:t xml:space="preserve">2.2. Scope 1, Scope 2, and Scope 3 Breakdown</w:t>
      </w:r>
    </w:p>
    <w:bookmarkStart w:id="35" w:name="scope-1-emissions-direct-emissions"/>
    <w:p>
      <w:pPr>
        <w:pStyle w:val="Heading4"/>
      </w:pPr>
      <w:r>
        <w:t xml:space="preserve">Scope 1 Emissions (Direct Emissions)</w:t>
      </w:r>
    </w:p>
    <w:p>
      <w:pPr>
        <w:pStyle w:val="FirstParagraph"/>
      </w:pPr>
      <w:r>
        <w:t xml:space="preserve">These are direct greenhouse gas emissions from sources owned or controlled by hqkjdiyngw. For a product-level analysis with a \'factory_gate\' boundary and given parameters, direct combustion on-site for manufacturing would fall under Scope 1. As specific direct fuel consumption data was not provided, we assume minimal direct operational emissions at the product level for this report, or they are implicitly covered by upstream processes if outsourced.</w:t>
      </w:r>
    </w:p>
    <w:p>
      <w:pPr>
        <w:pStyle w:val="BodyText"/>
      </w:pPr>
      <w:r>
        <w:rPr>
          <w:bCs/>
          <w:b/>
        </w:rPr>
        <w:t xml:space="preserve">Estimated Scope 1 Emissions:</w:t>
      </w:r>
      <w:r>
        <w:t xml:space="preserve"> </w:t>
      </w:r>
      <w:r>
        <w:t xml:space="preserve">0.0 kg CO2e / unit (Assumed negligible given parameters).</w:t>
      </w:r>
    </w:p>
    <w:bookmarkEnd w:id="35"/>
    <w:bookmarkStart w:id="36" w:name="X2d8d685b47aa894fb1e052b68fb751e5e9e47f0"/>
    <w:p>
      <w:pPr>
        <w:pStyle w:val="Heading4"/>
      </w:pPr>
      <w:r>
        <w:t xml:space="preserve">Scope 2 Emissions (Energy Indirect Emissions)</w:t>
      </w:r>
    </w:p>
    <w:p>
      <w:pPr>
        <w:pStyle w:val="FirstParagraph"/>
      </w:pPr>
      <w:r>
        <w:t xml:space="preserve">These are indirect GHG emissions from the generation of purchased electricity, steam, heating, or cooling consumed by hqkjdiyngw\'s operations during the manufacturing phase.</w:t>
      </w:r>
    </w:p>
    <w:p>
      <w:pPr>
        <w:numPr>
          <w:ilvl w:val="0"/>
          <w:numId w:val="1009"/>
        </w:numPr>
        <w:pStyle w:val="Compact"/>
      </w:pPr>
      <w:r>
        <w:t xml:space="preserve">Total electricity consumed per unit: pixqyntnrh kWh/unit</w:t>
      </w:r>
    </w:p>
    <w:p>
      <w:pPr>
        <w:numPr>
          <w:ilvl w:val="0"/>
          <w:numId w:val="1009"/>
        </w:numPr>
        <w:pStyle w:val="Compact"/>
      </w:pPr>
      <w:r>
        <w:t xml:space="preserve">Renewable energy percentage: jvwksmjuhd%</w:t>
      </w:r>
    </w:p>
    <w:p>
      <w:pPr>
        <w:numPr>
          <w:ilvl w:val="0"/>
          <w:numId w:val="1009"/>
        </w:numPr>
        <w:pStyle w:val="Compact"/>
      </w:pPr>
      <w:r>
        <w:t xml:space="preserve">Non-renewable electricity: pixqyntnrh * (1 - jvwksmjuhd/100) kWh/unit</w:t>
      </w:r>
    </w:p>
    <w:p>
      <w:pPr>
        <w:numPr>
          <w:ilvl w:val="0"/>
          <w:numId w:val="1009"/>
        </w:numPr>
        <w:pStyle w:val="Compact"/>
      </w:pPr>
      <w:r>
        <w:t xml:space="preserve">Estimated grid emission factor (China): 0.6 kg CO2e/kWh</w:t>
      </w:r>
    </w:p>
    <w:p>
      <w:pPr>
        <w:numPr>
          <w:ilvl w:val="0"/>
          <w:numId w:val="1009"/>
        </w:numPr>
        <w:pStyle w:val="Compact"/>
      </w:pPr>
      <w:r>
        <w:rPr>
          <w:bCs/>
          <w:b/>
        </w:rPr>
        <w:t xml:space="preserve">Calculated Scope 2 Emissions:</w:t>
      </w:r>
      <w:r>
        <w:t xml:space="preserve"> </w:t>
      </w:r>
      <w:r>
        <w:t xml:space="preserve">(pixqyntnrh * (1 - jvwksmjuhd/100) * 0.6) kg CO2e/unit</w:t>
      </w:r>
    </w:p>
    <w:p>
      <w:pPr>
        <w:pStyle w:val="FirstParagraph"/>
      </w:pPr>
      <w:r>
        <w:t xml:space="preserve">(Example if pixqyntnrh=100 kWh/unit and jvwksmjuhd=50%): (100 * (1 - 0.5) * 0.6) = 30.0 kg CO2e/unit</w:t>
      </w:r>
    </w:p>
    <w:bookmarkEnd w:id="36"/>
    <w:bookmarkStart w:id="39" w:name="Xa4ae47cf428664338de6136b1752768d982738f"/>
    <w:p>
      <w:pPr>
        <w:pStyle w:val="Heading4"/>
      </w:pPr>
      <w:r>
        <w:t xml:space="preserve">Scope 3 Emissions (Other Indirect Emissions - Value Chain)</w:t>
      </w:r>
    </w:p>
    <w:p>
      <w:pPr>
        <w:pStyle w:val="FirstParagraph"/>
      </w:pPr>
      <w:r>
        <w:t xml:space="preserve">Scope 3 emissions represent all other indirect emissions that occur in the value chain of hqkjdiyngw, both upstream and downstream. This analysis aims for at least 95% coverage for Scope 3 reporting as per 2026 requirements.</w:t>
      </w:r>
    </w:p>
    <w:bookmarkStart w:id="37" w:name="upstream-scope-3-emissions"/>
    <w:p>
      <w:pPr>
        <w:pStyle w:val="Heading5"/>
      </w:pPr>
      <w:r>
        <w:t xml:space="preserve">Upstream Scope 3 Emissions:</w:t>
      </w:r>
    </w:p>
    <w:p>
      <w:pPr>
        <w:numPr>
          <w:ilvl w:val="0"/>
          <w:numId w:val="1010"/>
        </w:numPr>
        <w:pStyle w:val="Compact"/>
      </w:pPr>
      <w:r>
        <w:rPr>
          <w:bCs/>
          <w:b/>
        </w:rPr>
        <w:t xml:space="preserve">Purchased Goods and Services (Materials):</w:t>
      </w:r>
      <w:r>
        <w:t xml:space="preserve"> </w:t>
      </w:r>
      <w:r>
        <w:t xml:space="preserve">This includes emissions from the extraction, production, and processing of all raw materials and components as detailed in the BOM.</w:t>
      </w:r>
    </w:p>
    <w:p>
      <w:pPr>
        <w:numPr>
          <w:ilvl w:val="1"/>
          <w:numId w:val="1011"/>
        </w:numPr>
        <w:pStyle w:val="Compact"/>
      </w:pPr>
      <w:r>
        <w:t xml:space="preserve">Total Carbon from BOM (tojsjtdo): 50.0 + 15.0 + 20.0 + 1.5 = 86.5 kg CO2e.</w:t>
      </w:r>
    </w:p>
    <w:p>
      <w:pPr>
        <w:numPr>
          <w:ilvl w:val="0"/>
          <w:numId w:val="1010"/>
        </w:numPr>
        <w:pStyle w:val="Compact"/>
      </w:pPr>
      <w:r>
        <w:rPr>
          <w:bCs/>
          <w:b/>
        </w:rPr>
        <w:t xml:space="preserve">Upstream Transportation and Distribution:</w:t>
      </w:r>
      <w:r>
        <w:t xml:space="preserve"> </w:t>
      </w:r>
      <w:r>
        <w:t xml:space="preserve">Emissions from transporting raw materials and components to hqkjdiyngw\'s factory. (Assumed included in BOM\'s \'Total Carbon\' for simplicity, or considered negligible for primary data collection based on system boundary \'factory_gate\' and prompt guidance).</w:t>
      </w:r>
    </w:p>
    <w:p>
      <w:pPr>
        <w:numPr>
          <w:ilvl w:val="0"/>
          <w:numId w:val="1010"/>
        </w:numPr>
        <w:pStyle w:val="Compact"/>
      </w:pPr>
      <w:r>
        <w:rPr>
          <w:bCs/>
          <w:b/>
        </w:rPr>
        <w:t xml:space="preserve">Waste Generated in Operations:</w:t>
      </w:r>
      <w:r>
        <w:t xml:space="preserve"> </w:t>
      </w:r>
      <w:r>
        <w:t xml:space="preserve">Emissions from the disposal and treatment of waste generated during manufacturing (not specified in parameters, assumed negligible or included in upstream material processing).</w:t>
      </w:r>
    </w:p>
    <w:p>
      <w:pPr>
        <w:pStyle w:val="FirstParagraph"/>
      </w:pPr>
      <w:r>
        <w:rPr>
          <w:bCs/>
          <w:b/>
        </w:rPr>
        <w:t xml:space="preserve">Estimated Upstream Scope 3 Emissions:</w:t>
      </w:r>
      <w:r>
        <w:t xml:space="preserve"> </w:t>
      </w:r>
      <w:r>
        <w:t xml:space="preserve">86.5 kg CO2e / unit (based on BOM data).</w:t>
      </w:r>
    </w:p>
    <w:bookmarkEnd w:id="37"/>
    <w:bookmarkStart w:id="38" w:name="downstream-scope-3-emissions"/>
    <w:p>
      <w:pPr>
        <w:pStyle w:val="Heading5"/>
      </w:pPr>
      <w:r>
        <w:t xml:space="preserve">Downstream Scope 3 Emissions:</w:t>
      </w:r>
    </w:p>
    <w:p>
      <w:pPr>
        <w:numPr>
          <w:ilvl w:val="0"/>
          <w:numId w:val="1012"/>
        </w:numPr>
      </w:pPr>
      <w:r>
        <w:rPr>
          <w:bCs/>
          <w:b/>
        </w:rPr>
        <w:t xml:space="preserve">Transportation and Distribution (Outbound):</w:t>
      </w:r>
      <w:r>
        <w:t xml:space="preserve"> </w:t>
      </w:r>
      <w:r>
        <w:t xml:space="preserve">Emissions from transporting the finished product from the factory gate to the end-consumer.</w:t>
      </w:r>
    </w:p>
    <w:p>
      <w:pPr>
        <w:numPr>
          <w:ilvl w:val="1"/>
          <w:numId w:val="1013"/>
        </w:numPr>
        <w:pStyle w:val="Compact"/>
      </w:pPr>
      <w:r>
        <w:t xml:space="preserve">Transport Mode: Select Mode (e.g., assuming Road Freight for zekzhyjmhf km)</w:t>
      </w:r>
    </w:p>
    <w:p>
      <w:pPr>
        <w:numPr>
          <w:ilvl w:val="1"/>
          <w:numId w:val="1013"/>
        </w:numPr>
        <w:pStyle w:val="Compact"/>
      </w:pPr>
      <w:r>
        <w:t xml:space="preserve">Transport Distance: zekzhyjmhf km</w:t>
      </w:r>
    </w:p>
    <w:p>
      <w:pPr>
        <w:numPr>
          <w:ilvl w:val="1"/>
          <w:numId w:val="1013"/>
        </w:numPr>
        <w:pStyle w:val="Compact"/>
      </w:pPr>
      <w:r>
        <w:t xml:space="preserve">Product Weight (illustrative, assuming 10 kg total for the unit): 10 kg</w:t>
      </w:r>
    </w:p>
    <w:p>
      <w:pPr>
        <w:numPr>
          <w:ilvl w:val="1"/>
          <w:numId w:val="1013"/>
        </w:numPr>
        <w:pStyle w:val="Compact"/>
      </w:pPr>
      <w:r>
        <w:t xml:space="preserve">Emission Factor (e.g., Road Freight): 0.1 kg CO2e/tonne-km</w:t>
      </w:r>
    </w:p>
    <w:p>
      <w:pPr>
        <w:numPr>
          <w:ilvl w:val="1"/>
          <w:numId w:val="1013"/>
        </w:numPr>
        <w:pStyle w:val="Compact"/>
      </w:pPr>
      <w:r>
        <w:rPr>
          <w:bCs/>
          <w:b/>
        </w:rPr>
        <w:t xml:space="preserve">Calculated Downstream Transport Emissions:</w:t>
      </w:r>
      <w:r>
        <w:t xml:space="preserve"> </w:t>
      </w:r>
      <w:r>
        <w:t xml:space="preserve">(zekzhyjmhf * 0.1 * (10/1000)) kg CO2e/unit</w:t>
      </w:r>
    </w:p>
    <w:p>
      <w:pPr>
        <w:numPr>
          <w:ilvl w:val="0"/>
          <w:numId w:val="1000"/>
        </w:numPr>
      </w:pPr>
      <w:r>
        <w:t xml:space="preserve">(Example if zekzhyjmhf=500 km, 10 kg product, Road Freight): (500 * 0.1 * 0.01) = 0.5 kg CO2e/unit</w:t>
      </w:r>
    </w:p>
    <w:p>
      <w:pPr>
        <w:numPr>
          <w:ilvl w:val="0"/>
          <w:numId w:val="1012"/>
        </w:numPr>
      </w:pPr>
      <w:r>
        <w:rPr>
          <w:bCs/>
          <w:b/>
        </w:rPr>
        <w:t xml:space="preserve">Use of Sold Products:</w:t>
      </w:r>
      <w:r>
        <w:t xml:space="preserve"> </w:t>
      </w:r>
      <w:r>
        <w:t xml:space="preserve">Emissions from energy consumption during the product\'s operational lifespan.</w:t>
      </w:r>
    </w:p>
    <w:p>
      <w:pPr>
        <w:numPr>
          <w:ilvl w:val="1"/>
          <w:numId w:val="1014"/>
        </w:numPr>
        <w:pStyle w:val="Compact"/>
      </w:pPr>
      <w:r>
        <w:t xml:space="preserve">Product Lifespan: nyunlxmwhp years</w:t>
      </w:r>
    </w:p>
    <w:p>
      <w:pPr>
        <w:numPr>
          <w:ilvl w:val="1"/>
          <w:numId w:val="1014"/>
        </w:numPr>
        <w:pStyle w:val="Compact"/>
      </w:pPr>
      <w:r>
        <w:t xml:space="preserve">Energy Consumption in Use: hndzrpdghg kWh/year</w:t>
      </w:r>
    </w:p>
    <w:p>
      <w:pPr>
        <w:numPr>
          <w:ilvl w:val="1"/>
          <w:numId w:val="1014"/>
        </w:numPr>
        <w:pStyle w:val="Compact"/>
      </w:pPr>
      <w:r>
        <w:t xml:space="preserve">Estimated Grid Emission Factor (end-user region, illustrative): 0.4 kg CO2e/kWh</w:t>
      </w:r>
    </w:p>
    <w:p>
      <w:pPr>
        <w:numPr>
          <w:ilvl w:val="1"/>
          <w:numId w:val="1014"/>
        </w:numPr>
        <w:pStyle w:val="Compact"/>
      </w:pPr>
      <w:r>
        <w:rPr>
          <w:bCs/>
          <w:b/>
        </w:rPr>
        <w:t xml:space="preserve">Calculated Use Phase Emissions:</w:t>
      </w:r>
      <w:r>
        <w:t xml:space="preserve"> </w:t>
      </w:r>
      <w:r>
        <w:t xml:space="preserve">(nyunlxmwhp * hndzrpdghg * 0.4) kg CO2e/unit</w:t>
      </w:r>
    </w:p>
    <w:p>
      <w:pPr>
        <w:numPr>
          <w:ilvl w:val="0"/>
          <w:numId w:val="1000"/>
        </w:numPr>
      </w:pPr>
      <w:r>
        <w:t xml:space="preserve">(Example if nyunlxmwhp=5 years, hndzrpdghg=20 kWh/year): (5 * 20 * 0.4) = 40.0 kg CO2e/unit</w:t>
      </w:r>
    </w:p>
    <w:p>
      <w:pPr>
        <w:numPr>
          <w:ilvl w:val="0"/>
          <w:numId w:val="1012"/>
        </w:numPr>
      </w:pPr>
      <w:r>
        <w:rPr>
          <w:bCs/>
          <w:b/>
        </w:rPr>
        <w:t xml:space="preserve">End-of-Life Treatment of Sold Products:</w:t>
      </w:r>
      <w:r>
        <w:t xml:space="preserve"> </w:t>
      </w:r>
      <w:r>
        <w:t xml:space="preserve">Emissions (or avoided emissions/credits) associated with the disposal and recycling of the product.</w:t>
      </w:r>
    </w:p>
    <w:p>
      <w:pPr>
        <w:numPr>
          <w:ilvl w:val="1"/>
          <w:numId w:val="1015"/>
        </w:numPr>
        <w:pStyle w:val="Compact"/>
      </w:pPr>
      <w:r>
        <w:t xml:space="preserve">Recyclability Percentage: fyvivvditv%</w:t>
      </w:r>
    </w:p>
    <w:p>
      <w:pPr>
        <w:numPr>
          <w:ilvl w:val="1"/>
          <w:numId w:val="1015"/>
        </w:numPr>
        <w:pStyle w:val="Compact"/>
      </w:pPr>
      <w:r>
        <w:t xml:space="preserve">Non-recyclable portion: (1 - fyvivvditv/100)</w:t>
      </w:r>
    </w:p>
    <w:p>
      <w:pPr>
        <w:numPr>
          <w:ilvl w:val="1"/>
          <w:numId w:val="1015"/>
        </w:numPr>
        <w:pStyle w:val="Compact"/>
      </w:pPr>
      <w:r>
        <w:t xml:space="preserve">Estimated Product Weight for Disposal (illustrative): 10 kg</w:t>
      </w:r>
    </w:p>
    <w:p>
      <w:pPr>
        <w:numPr>
          <w:ilvl w:val="1"/>
          <w:numId w:val="1015"/>
        </w:numPr>
        <w:pStyle w:val="Compact"/>
      </w:pPr>
      <w:r>
        <w:t xml:space="preserve">Disposal Emission Factor (landfill): 0.5 kg CO2e/kg</w:t>
      </w:r>
    </w:p>
    <w:p>
      <w:pPr>
        <w:numPr>
          <w:ilvl w:val="1"/>
          <w:numId w:val="1015"/>
        </w:numPr>
        <w:pStyle w:val="Compact"/>
      </w:pPr>
      <w:r>
        <w:t xml:space="preserve">Recycling Credit Factor: -0.1 kg CO2e/kg</w:t>
      </w:r>
    </w:p>
    <w:p>
      <w:pPr>
        <w:numPr>
          <w:ilvl w:val="1"/>
          <w:numId w:val="1015"/>
        </w:numPr>
        <w:pStyle w:val="Compact"/>
      </w:pPr>
      <w:r>
        <w:rPr>
          <w:bCs/>
          <w:b/>
        </w:rPr>
        <w:t xml:space="preserve">Calculated EoL Emissions:</w:t>
      </w:r>
      <w:r>
        <w:t xml:space="preserve"> </w:t>
      </w:r>
      <w:r>
        <w:t xml:space="preserve">(10 * (1 - fyvivvditv/100) * 0.5) + (10 * fyvivvditv/100 * -0.1) kg CO2e/unit</w:t>
      </w:r>
    </w:p>
    <w:p>
      <w:pPr>
        <w:numPr>
          <w:ilvl w:val="0"/>
          <w:numId w:val="1000"/>
        </w:numPr>
      </w:pPr>
      <w:r>
        <w:t xml:space="preserve">(Example if fyvivvditv=70%): (10 * 0.3 * 0.5) + (10 * 0.7 * -0.1) = 1.5 - 0.7 = 0.8 kg CO2e/unit</w:t>
      </w:r>
    </w:p>
    <w:p>
      <w:pPr>
        <w:pStyle w:val="FirstParagraph"/>
      </w:pPr>
      <w:r>
        <w:rPr>
          <w:bCs/>
          <w:b/>
        </w:rPr>
        <w:t xml:space="preserve">Estimated Downstream Scope 3 Emissions:</w:t>
      </w:r>
      <w:r>
        <w:t xml:space="preserve"> </w:t>
      </w:r>
      <w:r>
        <w:t xml:space="preserve">[Sum of calculated transport, use, EoL] kg CO2e / unit</w:t>
      </w:r>
    </w:p>
    <w:p>
      <w:pPr>
        <w:pStyle w:val="BodyText"/>
      </w:pPr>
      <w:r>
        <w:rPr>
          <w:bCs/>
          <w:b/>
        </w:rPr>
        <w:t xml:space="preserve">Total Scope 3 Emissions:</w:t>
      </w:r>
      <w:r>
        <w:t xml:space="preserve"> </w:t>
      </w:r>
      <w:r>
        <w:t xml:space="preserve">[Upstream Scope 3 + Downstream Scope 3] kg CO2e / unit</w:t>
      </w:r>
    </w:p>
    <w:bookmarkEnd w:id="38"/>
    <w:bookmarkEnd w:id="39"/>
    <w:bookmarkStart w:id="40" w:name="X3cc936296e94fe6f912f375122b035cacd45ee8"/>
    <w:p>
      <w:pPr>
        <w:pStyle w:val="Heading4"/>
      </w:pPr>
      <w:r>
        <w:t xml:space="preserve">Summary of Emissions by Scope (Illustrative based on examples)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Estimated Emissions (kg CO2e/unit)</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w:t>
            </w:r>
          </w:p>
        </w:tc>
        <w:tc>
          <w:tcPr/>
          <w:p>
            <w:pPr>
              <w:pStyle w:val="Compact"/>
              <w:jc w:val="left"/>
            </w:pPr>
            <w:r>
              <w:t xml:space="preserve">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30.0</w:t>
            </w:r>
          </w:p>
        </w:tc>
        <w:tc>
          <w:tcPr/>
          <w:p>
            <w:pPr>
              <w:pStyle w:val="Compact"/>
              <w:jc w:val="left"/>
            </w:pPr>
            <w:r>
              <w:t xml:space="preserve">~24%</w:t>
            </w:r>
          </w:p>
        </w:tc>
      </w:tr>
      <w:tr>
        <w:tc>
          <w:tcPr/>
          <w:p>
            <w:pPr>
              <w:pStyle w:val="Compact"/>
              <w:jc w:val="left"/>
            </w:pPr>
            <w:r>
              <w:t xml:space="preserve">Scope 3 (Upstream)</w:t>
            </w:r>
          </w:p>
        </w:tc>
        <w:tc>
          <w:tcPr/>
          <w:p>
            <w:pPr>
              <w:pStyle w:val="Compact"/>
              <w:jc w:val="left"/>
            </w:pPr>
            <w:r>
              <w:t xml:space="preserve">Materials (BOM)</w:t>
            </w:r>
          </w:p>
        </w:tc>
        <w:tc>
          <w:tcPr/>
          <w:p>
            <w:pPr>
              <w:pStyle w:val="Compact"/>
              <w:jc w:val="left"/>
            </w:pPr>
            <w:r>
              <w:t xml:space="preserve">86.5</w:t>
            </w:r>
          </w:p>
        </w:tc>
        <w:tc>
          <w:tcPr/>
          <w:p>
            <w:pPr>
              <w:pStyle w:val="Compact"/>
              <w:jc w:val="left"/>
            </w:pPr>
            <w:r>
              <w:t xml:space="preserve">~70%</w:t>
            </w:r>
          </w:p>
        </w:tc>
      </w:tr>
      <w:tr>
        <w:tc>
          <w:tcPr/>
          <w:p>
            <w:pPr>
              <w:pStyle w:val="Compact"/>
              <w:jc w:val="left"/>
            </w:pPr>
            <w:r>
              <w:t xml:space="preserve">Scope 3 (Downstream)</w:t>
            </w:r>
          </w:p>
        </w:tc>
        <w:tc>
          <w:tcPr/>
          <w:p>
            <w:pPr>
              <w:pStyle w:val="Compact"/>
              <w:jc w:val="left"/>
            </w:pPr>
            <w:r>
              <w:t xml:space="preserve">Transport, Use, EoL</w:t>
            </w:r>
          </w:p>
        </w:tc>
        <w:tc>
          <w:tcPr/>
          <w:p>
            <w:pPr>
              <w:pStyle w:val="Compact"/>
              <w:jc w:val="left"/>
            </w:pPr>
            <w:r>
              <w:t xml:space="preserve">41.3 (0.5 + 40.0 + 0.8)</w:t>
            </w:r>
          </w:p>
        </w:tc>
        <w:tc>
          <w:tcPr/>
          <w:p>
            <w:pPr>
              <w:pStyle w:val="Compact"/>
              <w:jc w:val="left"/>
            </w:pPr>
            <w:r>
              <w:t xml:space="preserve">~3%</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123.8</w:t>
            </w:r>
          </w:p>
        </w:tc>
        <w:tc>
          <w:tcPr/>
          <w:p>
            <w:pPr>
              <w:pStyle w:val="Compact"/>
              <w:jc w:val="left"/>
            </w:pPr>
            <w:r>
              <w:rPr>
                <w:bCs/>
                <w:b/>
              </w:rPr>
              <w:t xml:space="preserve">100%</w:t>
            </w:r>
          </w:p>
        </w:tc>
      </w:tr>
    </w:tbl>
    <w:p>
      <w:pPr>
        <w:pStyle w:val="BodyText"/>
      </w:pPr>
      <w:r>
        <w:rPr>
          <w:iCs/>
          <w:i/>
        </w:rPr>
        <w:t xml:space="preserve">Note: These values are illustrative based on the numerical examples provided above for string parameters. Actual calculations would use the numerical values of `pixqyntnrh`, `jvwksmjuhd`, `zekzhyjmhf`, `nyunlxmwhp`, `hndzrpdghg`, `fyvivvditv`.</w:t>
      </w:r>
    </w:p>
    <w:bookmarkEnd w:id="40"/>
    <w:bookmarkEnd w:id="41"/>
    <w:bookmarkStart w:id="42" w:name="compliance-with-2026-lsr-update"/>
    <w:p>
      <w:pPr>
        <w:pStyle w:val="Heading3"/>
      </w:pPr>
      <w:r>
        <w:t xml:space="preserve">2.3. Compliance with 2026 LSR Update</w:t>
      </w:r>
    </w:p>
    <w:p>
      <w:pPr>
        <w:pStyle w:val="FirstParagraph"/>
      </w:pPr>
      <w:r>
        <w:t xml:space="preserve">In line with the 2026 Land Sector and Removals (LSR) Standard, this analysis acknowledges and accounts for land-related emissions and removals where relevant data is available. This includes any significant land use change associated with raw material sourcing (e.g., deforestation for bio-based materials) and potential carbon sequestration benefits from sustainable land management or circular economy practices. Specific quantifiable data on LSR impacts was not explicitly provided in the parameters; therefore, this report highlights the methodological intent and suggests further data collection for a comprehensive LSR assessment.</w:t>
      </w:r>
    </w:p>
    <w:p>
      <w:pPr>
        <w:pStyle w:val="BodyText"/>
      </w:pPr>
      <w:r>
        <w:rPr>
          <w:bCs/>
          <w:b/>
        </w:rPr>
        <w:t xml:space="preserve">Scope 3 Compliance:</w:t>
      </w:r>
      <w:r>
        <w:t xml:space="preserve"> </w:t>
      </w:r>
      <w:r>
        <w:t xml:space="preserve">The analysis endeavors to achieve at least 95% coverage for Scope 3 reporting, reflecting the stringent requirements of the 2026 GHG Protocol. The detailed BOM and lifecycle stage analysis contribute significantly to this coverage. Identified gaps for full 95% compliance would typically include a more granular breakdown of capital goods, employee commuting, business travel, and upstream fuel &amp; energy related activities not directly tied to production, which would require further primary data collection from hqkjdiyngw and its suppliers.</w:t>
      </w:r>
    </w:p>
    <w:p>
      <w:r>
        <w:pict>
          <v:rect style="width:0;height:1.5pt" o:hralign="center" o:hrstd="t" o:hr="t"/>
        </w:pict>
      </w:r>
    </w:p>
    <w:bookmarkEnd w:id="42"/>
    <w:bookmarkEnd w:id="43"/>
    <w:bookmarkStart w:id="48" w:name="review-report"/>
    <w:p>
      <w:pPr>
        <w:pStyle w:val="Heading2"/>
      </w:pPr>
      <w:r>
        <w:t xml:space="preserve">3. Review &amp; Report</w:t>
      </w:r>
    </w:p>
    <w:bookmarkStart w:id="44" w:name="hotspot-identification"/>
    <w:p>
      <w:pPr>
        <w:pStyle w:val="Heading3"/>
      </w:pPr>
      <w:r>
        <w:t xml:space="preserve">3.1. Hotspot Identification</w:t>
      </w:r>
    </w:p>
    <w:p>
      <w:pPr>
        <w:pStyle w:val="FirstParagraph"/>
      </w:pPr>
      <w:r>
        <w:t xml:space="preserve">Based on the illustrative calculations, the primary emission hotspots for ttrxhkphxo are:</w:t>
      </w:r>
    </w:p>
    <w:p>
      <w:pPr>
        <w:numPr>
          <w:ilvl w:val="0"/>
          <w:numId w:val="1016"/>
        </w:numPr>
        <w:pStyle w:val="Compact"/>
      </w:pPr>
      <w:r>
        <w:rPr>
          <w:bCs/>
          <w:b/>
        </w:rPr>
        <w:t xml:space="preserve">Raw Materials (Upstream Scope 3):</w:t>
      </w:r>
      <w:r>
        <w:t xml:space="preserve"> </w:t>
      </w:r>
      <w:r>
        <w:t xml:space="preserve">Constituting the largest share, the production and processing of materials (especially metals and plastics based on BOM examples) are significant contributors to the overall footprint. This highlights the importance of sustainable sourcing and material efficiency.</w:t>
      </w:r>
    </w:p>
    <w:p>
      <w:pPr>
        <w:numPr>
          <w:ilvl w:val="0"/>
          <w:numId w:val="1016"/>
        </w:numPr>
        <w:pStyle w:val="Compact"/>
      </w:pPr>
      <w:r>
        <w:rPr>
          <w:bCs/>
          <w:b/>
        </w:rPr>
        <w:t xml:space="preserve">Manufacturing Energy (Scope 2):</w:t>
      </w:r>
      <w:r>
        <w:t xml:space="preserve"> </w:t>
      </w:r>
      <w:r>
        <w:t xml:space="preserve">Purchased electricity for the production facility in China represents another significant hotspot, emphasizing the need for increasing renewable energy usage and energy efficiency measures.</w:t>
      </w:r>
    </w:p>
    <w:p>
      <w:pPr>
        <w:numPr>
          <w:ilvl w:val="0"/>
          <w:numId w:val="1016"/>
        </w:numPr>
        <w:pStyle w:val="Compact"/>
      </w:pPr>
      <w:r>
        <w:rPr>
          <w:bCs/>
          <w:b/>
        </w:rPr>
        <w:t xml:space="preserve">Product Use Phase (Downstream Scope 3):</w:t>
      </w:r>
      <w:r>
        <w:t xml:space="preserve"> </w:t>
      </w:r>
      <w:r>
        <w:t xml:space="preserve">The energy consumption during the product\'s lifespan is also a considerable factor, suggesting opportunities for designing more energy-efficient products.</w:t>
      </w:r>
    </w:p>
    <w:bookmarkEnd w:id="44"/>
    <w:bookmarkStart w:id="47" w:name="reliability-assessment-and-limitations"/>
    <w:p>
      <w:pPr>
        <w:pStyle w:val="Heading3"/>
      </w:pPr>
      <w:r>
        <w:t xml:space="preserve">3.2. Reliability Assessment and Limitations</w:t>
      </w:r>
    </w:p>
    <w:p>
      <w:pPr>
        <w:pStyle w:val="FirstParagraph"/>
      </w:pPr>
      <w:r>
        <w:t xml:space="preserve">The reliability of this PCF analysis is contingent on the accuracy and completeness of the provided data. Key considerations include:</w:t>
      </w:r>
    </w:p>
    <w:p>
      <w:pPr>
        <w:numPr>
          <w:ilvl w:val="0"/>
          <w:numId w:val="1017"/>
        </w:numPr>
        <w:pStyle w:val="Compact"/>
      </w:pPr>
      <w:r>
        <w:rPr>
          <w:bCs/>
          <w:b/>
        </w:rPr>
        <w:t xml:space="preserve">Data Quality:</w:t>
      </w:r>
      <w:r>
        <w:t xml:space="preserve"> </w:t>
      </w:r>
      <w:r>
        <w:t xml:space="preserve">The analysis relies on the provided BOM, energy consumption figures, and logistics data. The use of pre-calculated \'Total Carbon\' for BOM items is efficient but assumes the underlying data and emission factors used in their derivation are accurate and representative.</w:t>
      </w:r>
    </w:p>
    <w:p>
      <w:pPr>
        <w:numPr>
          <w:ilvl w:val="0"/>
          <w:numId w:val="1017"/>
        </w:numPr>
        <w:pStyle w:val="Compact"/>
      </w:pPr>
      <w:r>
        <w:rPr>
          <w:bCs/>
          <w:b/>
        </w:rPr>
        <w:t xml:space="preserve">Emission Factors:</w:t>
      </w:r>
      <w:r>
        <w:t xml:space="preserve"> </w:t>
      </w:r>
      <w:r>
        <w:t xml:space="preserve">Generic industry-average emission factors (e.g., for electricity grids, transport) have been used where specific hqkjdiyngw or supplier-specific data was unavailable. These factors provide a good estimate but may not perfectly reflect the precise conditions of hqkjdiyngw\'s supply chain or operations.</w:t>
      </w:r>
    </w:p>
    <w:p>
      <w:pPr>
        <w:numPr>
          <w:ilvl w:val="0"/>
          <w:numId w:val="1017"/>
        </w:numPr>
        <w:pStyle w:val="Compact"/>
      </w:pPr>
      <w:r>
        <w:rPr>
          <w:bCs/>
          <w:b/>
        </w:rPr>
        <w:t xml:space="preserve">System Boundary Assumptions:</w:t>
      </w:r>
      <w:r>
        <w:t xml:space="preserve"> </w:t>
      </w:r>
      <w:r>
        <w:t xml:space="preserve">While a cradle-to-grave approach is aimed for, certain minor upstream or downstream activities might be excluded due to data unavailability, potentially impacting the comprehensiveness of the 95% Scope 3 coverage goal.</w:t>
      </w:r>
    </w:p>
    <w:p>
      <w:pPr>
        <w:numPr>
          <w:ilvl w:val="0"/>
          <w:numId w:val="1017"/>
        </w:numPr>
        <w:pStyle w:val="Compact"/>
      </w:pPr>
      <w:r>
        <w:rPr>
          <w:bCs/>
          <w:b/>
        </w:rPr>
        <w:t xml:space="preserve">Future Improvements:</w:t>
      </w:r>
      <w:r>
        <w:t xml:space="preserve"> </w:t>
      </w:r>
      <w:r>
        <w:t xml:space="preserve">To enhance accuracy, hqkjdiyngw is encouraged to collect more primary data directly from suppliers regarding material production, specific transport modes and distances for all inbound logistics, and actual waste generation and treatment data.</w:t>
      </w:r>
    </w:p>
    <w:p>
      <w:pPr>
        <w:pStyle w:val="FirstParagraph"/>
      </w:pPr>
      <w:r>
        <w:t xml:space="preserve">The explicit mention of circular economy impacts through `fyvivvditv` (Recyclability Percentage) and `vnjnfjzmxg` (Circular/Take-back Programs) provides a valuable perspective, but the precise quantification of their emission reduction benefits depends on detailed data regarding recovery rates and avoided primary production. The identified circular programs offer a strong foundation for future footprint reductions.</w:t>
      </w:r>
    </w:p>
    <w:p>
      <w:r>
        <w:pict>
          <v:rect style="width:0;height:1.5pt" o:hralign="center" o:hrstd="t" o:hr="t"/>
        </w:pict>
      </w:r>
    </w:p>
    <w:p>
      <w:pPr>
        <w:pStyle w:val="FirstParagraph"/>
      </w:pPr>
      <w:r>
        <w:t xml:space="preserve">Confidential - Internal Use Only | Page</w:t>
      </w:r>
      <w:r>
        <w:t xml:space="preserve"> </w:t>
      </w:r>
      <w:bookmarkStart w:id="45" w:name="page-num"/>
      <w:bookmarkEnd w:id="45"/>
      <w:r>
        <w:t xml:space="preserve"> </w:t>
      </w:r>
      <w:r>
        <w:t xml:space="preserve">of</w:t>
      </w:r>
      <w:r>
        <w:t xml:space="preserve"> </w:t>
      </w:r>
      <w:bookmarkStart w:id="46" w:name="page-count"/>
      <w:bookmarkEnd w:id="46"/>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ttrxhkphxo - hqkjdiyngw</dc:title>
  <dc:creator/>
  <dc:description>Detailed Product Carbon Footprint (PCF) analysis report for product ttrxhkphxo by hqkjdiyngw, conducted by Senior Sustainability Consultant hudxudfpdw, adhering to GHG Protocol and 2026 LSR Update requirements.</dc:description>
  <cp:keywords/>
  <dcterms:created xsi:type="dcterms:W3CDTF">2026-07-15T05:36:08Z</dcterms:created>
  <dcterms:modified xsi:type="dcterms:W3CDTF">2026-07-15T05:36:08Z</dcterms:modified>
</cp:coreProperties>
</file>

<file path=docProps/custom.xml><?xml version="1.0" encoding="utf-8"?>
<Properties xmlns="http://schemas.openxmlformats.org/officeDocument/2006/custom-properties" xmlns:vt="http://schemas.openxmlformats.org/officeDocument/2006/docPropsVTypes"/>
</file>