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tsdpjwizps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tsdpjwizps</w:t>
      </w:r>
    </w:p>
    <w:p>
      <w:pPr>
        <w:pStyle w:val="BodyText"/>
      </w:pPr>
      <w:r>
        <w:rPr>
          <w:bCs/>
          <w:b/>
        </w:rPr>
        <w:t xml:space="preserve">Company:</w:t>
      </w:r>
      <w:r>
        <w:t xml:space="preserve"> </w:t>
      </w:r>
      <w:r>
        <w:t xml:space="preserve">jrgpddsqjr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dltreeizeq</w:t>
      </w:r>
    </w:p>
    <w:p>
      <w:pPr>
        <w:pStyle w:val="BodyText"/>
      </w:pPr>
      <w:r>
        <w:t xml:space="preserve">Disclaimer: This report is generated based on available data and industry standards. While efforts have been made to ensure accuracy, the actual environmental impact may vary depending on specific operational details and evolving data.</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27,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"tsdpjwizps," manufactured by "jrgpddsqjr." The analysis was conducted by dltreeizeq, a Senior Sustainability Consultant specializing in GHG Protocol. Adhering strictly to the GHG Protocol accounting standard, including the 2026 Land Sector and Removals (LSR) Standard update and ensuring at least 95% Scope 3 coverage, this assessment quantifies the greenhouse gas emissions across the product\'s lifecycle. The report highlights emission hotspots and provides a transparent overview of the environmental impact, from raw material acquisition to end-of-life treatment, guiding jrgpddsqjr towards informed sustainability strategies.</w:t>
      </w:r>
    </w:p>
    <w:bookmarkEnd w:id="22"/>
    <w:bookmarkStart w:id="23" w:name="introduction"/>
    <w:p>
      <w:pPr>
        <w:pStyle w:val="Heading2"/>
      </w:pPr>
      <w:r>
        <w:t xml:space="preserve">1. Introduction</w:t>
      </w:r>
    </w:p>
    <w:p>
      <w:pPr>
        <w:pStyle w:val="FirstParagraph"/>
      </w:pPr>
      <w:r>
        <w:t xml:space="preserve">In response to increasing climate change concerns and regulatory pressures, jrgpddsqjr commissioned this Product Carbon Footprint (PCF) analysis for its product, tsdpjwizps. This study aligns with global best practices, leveraging the GHG Protocol as its accounting standard, and incorporates the latest updates from the 2026 Land Sector and Removals (LSR) Standard. The objective is to provide a comprehensive and transparent assessment of the product\'s carbon footprint, identifying key emission sources across its entire lifecycle and supporting jrgpddsqjr\'s sustainability objectives.</w:t>
      </w:r>
    </w:p>
    <w:p>
      <w:pPr>
        <w:pStyle w:val="BodyText"/>
      </w:pPr>
      <w:r>
        <w:rPr>
          <w:bCs/>
          <w:b/>
        </w:rPr>
        <w:t xml:space="preserve">Consultant:</w:t>
      </w:r>
      <w:r>
        <w:t xml:space="preserve"> </w:t>
      </w:r>
      <w:r>
        <w:t xml:space="preserve">dltreeizeq, Senior Sustainability Consultant</w:t>
      </w:r>
    </w:p>
    <w:p>
      <w:pPr>
        <w:pStyle w:val="BodyText"/>
      </w:pPr>
      <w:r>
        <w:rPr>
          <w:bCs/>
          <w:b/>
        </w:rPr>
        <w:t xml:space="preserve">Company:</w:t>
      </w:r>
      <w:r>
        <w:t xml:space="preserve"> </w:t>
      </w:r>
      <w:r>
        <w:t xml:space="preserve">jrgpddsqjr</w:t>
      </w:r>
    </w:p>
    <w:p>
      <w:pPr>
        <w:pStyle w:val="BodyText"/>
      </w:pPr>
      <w:r>
        <w:rPr>
          <w:bCs/>
          <w:b/>
        </w:rPr>
        <w:t xml:space="preserve">Product:</w:t>
      </w:r>
      <w:r>
        <w:t xml:space="preserve"> </w:t>
      </w:r>
      <w:r>
        <w:t xml:space="preserve">tsdpjwizps</w:t>
      </w:r>
    </w:p>
    <w:p>
      <w:pPr>
        <w:pStyle w:val="BodyText"/>
      </w:pPr>
      <w:r>
        <w:rPr>
          <w:bCs/>
          <w:b/>
        </w:rPr>
        <w:t xml:space="preserve">Accounting Standard:</w:t>
      </w:r>
      <w:r>
        <w:t xml:space="preserve"> </w:t>
      </w:r>
      <w:r>
        <w:t xml:space="preserve">GHG Protocol</w:t>
      </w:r>
    </w:p>
    <w:bookmarkEnd w:id="23"/>
    <w:bookmarkStart w:id="33" w:name="methodology-followed"/>
    <w:p>
      <w:pPr>
        <w:pStyle w:val="Heading2"/>
      </w:pPr>
      <w:r>
        <w:t xml:space="preserve">2. Methodology Followed</w:t>
      </w:r>
    </w:p>
    <w:p>
      <w:pPr>
        <w:pStyle w:val="FirstParagraph"/>
      </w:pPr>
      <w:r>
        <w:t xml:space="preserve">The Product Carbon Footprint (PCF) analysis was performed following the five core steps of the Lifecycle Assessment (LCA) methodology, meticulously adapted to adhere to the GHG Protocol standards:</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functional unit for this analysis is defined as 1.0 unit of the tsdpjwizps product.</w:t>
      </w:r>
    </w:p>
    <w:p>
      <w:pPr>
        <w:numPr>
          <w:ilvl w:val="0"/>
          <w:numId w:val="1001"/>
        </w:numPr>
        <w:pStyle w:val="Compact"/>
      </w:pPr>
      <w:r>
        <w:rPr>
          <w:bCs/>
          <w:b/>
        </w:rPr>
        <w:t xml:space="preserve">System Boundary:</w:t>
      </w:r>
      <w:r>
        <w:t xml:space="preserve"> </w:t>
      </w:r>
      <w:r>
        <w:t xml:space="preserve">While the primary reporting boundary for direct emissions (Scope 1 &amp; 2) is the \'factory_gate\' in China, the analysis extends to a \'cradle-to-grave\' perspective to capture all significant upstream and downstream Scope 3 emissions as required by the parameters, encompassing raw material extraction, manufacturing, transport, use, and end-of-life.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relevant upstream materials or downstream distribution/use phase in Europe).</w:t>
      </w:r>
    </w:p>
    <w:p>
      <w:pPr>
        <w:numPr>
          <w:ilvl w:val="0"/>
          <w:numId w:val="1001"/>
        </w:numPr>
        <w:pStyle w:val="Compact"/>
      </w:pPr>
      <w:r>
        <w:rPr>
          <w:bCs/>
          <w:b/>
        </w:rPr>
        <w:t xml:space="preserve">Allocation:</w:t>
      </w:r>
      <w:r>
        <w:t xml:space="preserve"> </w:t>
      </w:r>
      <w:r>
        <w:t xml:space="preserve">Emissions are allocated based on mass for materials and proportional energy consumption across various lifecycle stages. Co-product allocation methods are applied where relevant to ensure fair distribution of environmental burdens.</w:t>
      </w:r>
    </w:p>
    <w:p>
      <w:pPr>
        <w:numPr>
          <w:ilvl w:val="0"/>
          <w:numId w:val="1001"/>
        </w:numPr>
        <w:pStyle w:val="Compact"/>
      </w:pPr>
      <w:r>
        <w:rPr>
          <w:bCs/>
          <w:b/>
        </w:rPr>
        <w:t xml:space="preserve">GHG Protocol Adherence:</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 of the reporting company, both upstream and downstream).</w:t>
      </w:r>
    </w:p>
    <w:p>
      <w:pPr>
        <w:numPr>
          <w:ilvl w:val="0"/>
          <w:numId w:val="1001"/>
        </w:numPr>
        <w:pStyle w:val="Compact"/>
      </w:pPr>
      <w:r>
        <w:rPr>
          <w:bCs/>
          <w:b/>
        </w:rPr>
        <w:t xml:space="preserve">2026 LSR Update:</w:t>
      </w:r>
      <w:r>
        <w:t xml:space="preserve"> </w:t>
      </w:r>
      <w:r>
        <w:t xml:space="preserve">The Land Sector and Removals (LSR) Standard for land use and carbon removals has been conceptually applied to account for any land-related emissions or removals associated with the product\'s lifecycle, although specific land-use change data was not provided for quantification.</w:t>
      </w:r>
    </w:p>
    <w:p>
      <w:pPr>
        <w:numPr>
          <w:ilvl w:val="0"/>
          <w:numId w:val="1001"/>
        </w:numPr>
        <w:pStyle w:val="Compact"/>
      </w:pPr>
      <w:r>
        <w:rPr>
          <w:bCs/>
          <w:b/>
        </w:rPr>
        <w:t xml:space="preserve">Scope 3 Compliance:</w:t>
      </w:r>
      <w:r>
        <w:t xml:space="preserve"> </w:t>
      </w:r>
      <w:r>
        <w:t xml:space="preserve">This analysis is designed to ensure at least 95% coverage for Scope 3 reporting, in line with 2026 requirements, by comprehensively addressing all significant upstream and downstream activities.</w:t>
      </w:r>
    </w:p>
    <w:bookmarkEnd w:id="24"/>
    <w:bookmarkStart w:id="25" w:name="map-lifecycle-lci-inventory-stages"/>
    <w:p>
      <w:pPr>
        <w:pStyle w:val="Heading3"/>
      </w:pPr>
      <w:r>
        <w:t xml:space="preserve">2.2. Map Lifecycle (LCI Inventory Stages)</w:t>
      </w:r>
    </w:p>
    <w:p>
      <w:pPr>
        <w:pStyle w:val="FirstParagraph"/>
      </w:pPr>
      <w:r>
        <w:t xml:space="preserve">The lifecycle of tsdpjwizps was mapped into the following stages to systematically identify and quantify environmental impacts:</w:t>
      </w:r>
    </w:p>
    <w:p>
      <w:pPr>
        <w:numPr>
          <w:ilvl w:val="0"/>
          <w:numId w:val="1003"/>
        </w:numPr>
        <w:pStyle w:val="Compact"/>
      </w:pPr>
      <w:r>
        <w:rPr>
          <w:bCs/>
          <w:b/>
        </w:rPr>
        <w:t xml:space="preserve">Materials Acquisition &amp; Pre-processing (Upstream Scope 3):</w:t>
      </w:r>
      <w:r>
        <w:t xml:space="preserve"> </w:t>
      </w:r>
      <w:r>
        <w:t xml:space="preserve">Covers the extraction, production, and initial processing of all raw materials and components.</w:t>
      </w:r>
    </w:p>
    <w:p>
      <w:pPr>
        <w:numPr>
          <w:ilvl w:val="0"/>
          <w:numId w:val="1003"/>
        </w:numPr>
        <w:pStyle w:val="Compact"/>
      </w:pPr>
      <w:r>
        <w:rPr>
          <w:bCs/>
          <w:b/>
        </w:rPr>
        <w:t xml:space="preserve">Manufacturing (Scope 1, 2, &amp; Upstream Scope 3 for capital goods/waste):</w:t>
      </w:r>
      <w:r>
        <w:t xml:space="preserve"> </w:t>
      </w:r>
      <w:r>
        <w:t xml:space="preserve">Encompasses all processes within the jrgpddsqjr production facility in China, including energy consumption, process emissions, and waste generation.</w:t>
      </w:r>
    </w:p>
    <w:p>
      <w:pPr>
        <w:numPr>
          <w:ilvl w:val="0"/>
          <w:numId w:val="1003"/>
        </w:numPr>
        <w:pStyle w:val="Compact"/>
      </w:pPr>
      <w:r>
        <w:rPr>
          <w:bCs/>
          <w:b/>
        </w:rPr>
        <w:t xml:space="preserve">Transport (Upstream &amp; Downstream Scope 3):</w:t>
      </w:r>
      <w:r>
        <w:t xml:space="preserve"> </w:t>
      </w:r>
      <w:r>
        <w:t xml:space="preserve">Includes inbound logistics (raw materials to factory) and outbound logistics (finished product from factory to customer, including last-mile delivery).</w:t>
      </w:r>
    </w:p>
    <w:p>
      <w:pPr>
        <w:numPr>
          <w:ilvl w:val="0"/>
          <w:numId w:val="1003"/>
        </w:numPr>
        <w:pStyle w:val="Compact"/>
      </w:pPr>
      <w:r>
        <w:rPr>
          <w:bCs/>
          <w:b/>
        </w:rPr>
        <w:t xml:space="preserve">Use Phase (Downstream Scope 3):</w:t>
      </w:r>
      <w:r>
        <w:t xml:space="preserve"> </w:t>
      </w:r>
      <w:r>
        <w:t xml:space="preserve">Accounts for energy consumption during the product\'s lifespan and any associated emissions.</w:t>
      </w:r>
    </w:p>
    <w:p>
      <w:pPr>
        <w:numPr>
          <w:ilvl w:val="0"/>
          <w:numId w:val="1003"/>
        </w:numPr>
        <w:pStyle w:val="Compact"/>
      </w:pPr>
      <w:r>
        <w:rPr>
          <w:bCs/>
          <w:b/>
        </w:rPr>
        <w:t xml:space="preserve">End-of-Life (EoL) (Downstream Scope 3):</w:t>
      </w:r>
      <w:r>
        <w:t xml:space="preserve"> </w:t>
      </w:r>
      <w:r>
        <w:t xml:space="preserve">Addresses the disposal, recycling, or recovery of the product and its components at the end of its useful life.</w:t>
      </w:r>
    </w:p>
    <w:bookmarkEnd w:id="25"/>
    <w:bookmarkStart w:id="32" w:name="Xb57f50a89bf1f3f1837369be949d9d60d6c1272"/>
    <w:p>
      <w:pPr>
        <w:pStyle w:val="Heading3"/>
      </w:pPr>
      <w:r>
        <w:t xml:space="preserve">2.3. Collect Data (Primary/Secondary Data Points)</w:t>
      </w:r>
    </w:p>
    <w:p>
      <w:pPr>
        <w:pStyle w:val="FirstParagraph"/>
      </w:pPr>
      <w:r>
        <w:t xml:space="preserve">Both primary and secondary data were collected and utilized for this analysis. Due to the placeholder nature of some input parameters, certain values are assumed or derived from generic industry averages, with specific input parameters used directly where provided.</w:t>
      </w:r>
    </w:p>
    <w:bookmarkStart w:id="26" w:name="X2bbacd8ce667eaf8a00b80fe70cda0e4cffb9fe"/>
    <w:p>
      <w:pPr>
        <w:pStyle w:val="Heading4"/>
      </w:pPr>
      <w:r>
        <w:t xml:space="preserve">2.3.1. Detailed Bill of Materials (BOM) - hxiodkdk</w:t>
      </w:r>
    </w:p>
    <w:p>
      <w:pPr>
        <w:pStyle w:val="FirstParagraph"/>
      </w:pPr>
      <w:r>
        <w:t xml:space="preserve">The provided BOM data for high-accuracy material impact calculation is incorporated directly:</w:t>
      </w:r>
    </w:p>
    <w:p>
      <w:pPr>
        <w:pStyle w:val="SourceCode"/>
      </w:pPr>
      <w:r>
        <w:rPr>
          <w:rStyle w:val="VerbatimChar"/>
        </w:rPr>
        <w:t xml:space="preserve">hxiodkdk = "1,Steel Frame,Metal,Welding,1.5,kg,2.0,3.0;2,Plastic Casing,Polymer,Injection,0.8,kg,2.5,2.0;3,Circuit Board,Electronics,Assembly,0.1,unit,15.0,1.5"</w:t>
      </w:r>
    </w:p>
    <w:p>
      <w:pPr>
        <w:pStyle w:val="FirstParagraph"/>
      </w:pPr>
      <w:r>
        <w:t xml:space="preserve">This BOM is parsed to extract material type, quantity, and pre-calculated total carbon emissions, ensuring these specific values are used.</w:t>
      </w:r>
    </w:p>
    <w:bookmarkEnd w:id="26"/>
    <w:bookmarkStart w:id="27" w:name="logistics-data"/>
    <w:p>
      <w:pPr>
        <w:pStyle w:val="Heading4"/>
      </w:pPr>
      <w:r>
        <w:t xml:space="preserve">2.3.2. Logistics Data</w:t>
      </w:r>
    </w:p>
    <w:p>
      <w:pPr>
        <w:numPr>
          <w:ilvl w:val="0"/>
          <w:numId w:val="1004"/>
        </w:numPr>
        <w:pStyle w:val="Compact"/>
      </w:pPr>
      <w:r>
        <w:rPr>
          <w:bCs/>
          <w:b/>
        </w:rPr>
        <w:t xml:space="preserve">Transport Mode:</w:t>
      </w:r>
      <w:r>
        <w:t xml:space="preserve"> </w:t>
      </w:r>
      <w:r>
        <w:t xml:space="preserve">Select Mode (Assumed: Road Freight - Heavy Duty Truck for main transport)</w:t>
      </w:r>
    </w:p>
    <w:p>
      <w:pPr>
        <w:numPr>
          <w:ilvl w:val="0"/>
          <w:numId w:val="1004"/>
        </w:numPr>
        <w:pStyle w:val="Compact"/>
      </w:pPr>
      <w:r>
        <w:rPr>
          <w:bCs/>
          <w:b/>
        </w:rPr>
        <w:t xml:space="preserve">Transport Distance:</w:t>
      </w:r>
      <w:r>
        <w:t xml:space="preserve"> </w:t>
      </w:r>
      <w:r>
        <w:t xml:space="preserve">iyyfljnklk (Specific value used directly)</w:t>
      </w:r>
    </w:p>
    <w:p>
      <w:pPr>
        <w:numPr>
          <w:ilvl w:val="0"/>
          <w:numId w:val="1004"/>
        </w:numPr>
        <w:pStyle w:val="Compact"/>
      </w:pPr>
      <w:r>
        <w:rPr>
          <w:bCs/>
          <w:b/>
        </w:rPr>
        <w:t xml:space="preserve">Last-Mile Delivery Channel:</w:t>
      </w:r>
      <w:r>
        <w:t xml:space="preserve"> </w:t>
      </w:r>
      <w:r>
        <w:t xml:space="preserve">Delivery Type (Assumed: Parcel Delivery Van for a shorter, final leg)</w:t>
      </w:r>
    </w:p>
    <w:bookmarkEnd w:id="27"/>
    <w:bookmarkStart w:id="28" w:name="X5077dc433e1da7ac35c89ed02c6fc33082866a4"/>
    <w:p>
      <w:pPr>
        <w:pStyle w:val="Heading4"/>
      </w:pPr>
      <w:r>
        <w:t xml:space="preserve">2.3.3. Energy Customization Data (Production Phase)</w:t>
      </w:r>
    </w:p>
    <w:p>
      <w:pPr>
        <w:numPr>
          <w:ilvl w:val="0"/>
          <w:numId w:val="1005"/>
        </w:numPr>
        <w:pStyle w:val="Compact"/>
      </w:pPr>
      <w:r>
        <w:rPr>
          <w:bCs/>
          <w:b/>
        </w:rPr>
        <w:t xml:space="preserve">Renewable Energy Usage:</w:t>
      </w:r>
      <w:r>
        <w:t xml:space="preserve"> </w:t>
      </w:r>
      <w:r>
        <w:t xml:space="preserve">pdzjrijggy (Specific percentage used directly for factory operations)</w:t>
      </w:r>
    </w:p>
    <w:p>
      <w:pPr>
        <w:numPr>
          <w:ilvl w:val="0"/>
          <w:numId w:val="1005"/>
        </w:numPr>
        <w:pStyle w:val="Compact"/>
      </w:pPr>
      <w:r>
        <w:rPr>
          <w:bCs/>
          <w:b/>
        </w:rPr>
        <w:t xml:space="preserve">Energy Intensity (kWh/unit):</w:t>
      </w:r>
      <w:r>
        <w:t xml:space="preserve"> </w:t>
      </w:r>
      <w:r>
        <w:t xml:space="preserve">dwvldshnfk (Specific value used directly for production energy consumption)</w:t>
      </w:r>
    </w:p>
    <w:bookmarkEnd w:id="28"/>
    <w:bookmarkStart w:id="29" w:name="use-phase-data"/>
    <w:p>
      <w:pPr>
        <w:pStyle w:val="Heading4"/>
      </w:pPr>
      <w:r>
        <w:t xml:space="preserve">2.3.4. Use Phase Data</w:t>
      </w:r>
    </w:p>
    <w:p>
      <w:pPr>
        <w:numPr>
          <w:ilvl w:val="0"/>
          <w:numId w:val="1006"/>
        </w:numPr>
        <w:pStyle w:val="Compact"/>
      </w:pPr>
      <w:r>
        <w:rPr>
          <w:bCs/>
          <w:b/>
        </w:rPr>
        <w:t xml:space="preserve">Product Lifespan:</w:t>
      </w:r>
      <w:r>
        <w:t xml:space="preserve"> </w:t>
      </w:r>
      <w:r>
        <w:t xml:space="preserve">rnkldmrwfu (Specific value used directly)</w:t>
      </w:r>
    </w:p>
    <w:p>
      <w:pPr>
        <w:numPr>
          <w:ilvl w:val="0"/>
          <w:numId w:val="1006"/>
        </w:numPr>
        <w:pStyle w:val="Compact"/>
      </w:pPr>
      <w:r>
        <w:rPr>
          <w:bCs/>
          <w:b/>
        </w:rPr>
        <w:t xml:space="preserve">Energy Consumption in Use:</w:t>
      </w:r>
      <w:r>
        <w:t xml:space="preserve"> </w:t>
      </w:r>
      <w:r>
        <w:t xml:space="preserve">inekeuhkgi (Specific value used directly for product operation)</w:t>
      </w:r>
    </w:p>
    <w:bookmarkEnd w:id="29"/>
    <w:bookmarkStart w:id="30" w:name="end-of-life-eol-scenarios"/>
    <w:p>
      <w:pPr>
        <w:pStyle w:val="Heading4"/>
      </w:pPr>
      <w:r>
        <w:t xml:space="preserve">2.3.5. End-of-Life (EoL) Scenarios</w:t>
      </w:r>
    </w:p>
    <w:p>
      <w:pPr>
        <w:numPr>
          <w:ilvl w:val="0"/>
          <w:numId w:val="1007"/>
        </w:numPr>
        <w:pStyle w:val="Compact"/>
      </w:pPr>
      <w:r>
        <w:rPr>
          <w:bCs/>
          <w:b/>
        </w:rPr>
        <w:t xml:space="preserve">Recyclability Percentage:</w:t>
      </w:r>
      <w:r>
        <w:t xml:space="preserve"> </w:t>
      </w:r>
      <w:r>
        <w:t xml:space="preserve">siqgpnvhqg (Specific percentage used directly)</w:t>
      </w:r>
    </w:p>
    <w:p>
      <w:pPr>
        <w:numPr>
          <w:ilvl w:val="0"/>
          <w:numId w:val="1007"/>
        </w:numPr>
        <w:pStyle w:val="Compact"/>
      </w:pPr>
      <w:r>
        <w:rPr>
          <w:bCs/>
          <w:b/>
        </w:rPr>
        <w:t xml:space="preserve">Circular/Take-back Programs:</w:t>
      </w:r>
      <w:r>
        <w:t xml:space="preserve"> </w:t>
      </w:r>
      <w:r>
        <w:t xml:space="preserve">ofqungjpln (Acknowledged as contributing to circular economy impacts, influencing EoL calculations through higher recycling rates or material recovery.)</w:t>
      </w:r>
    </w:p>
    <w:bookmarkEnd w:id="30"/>
    <w:bookmarkStart w:id="31" w:name="emission-factors"/>
    <w:p>
      <w:pPr>
        <w:pStyle w:val="Heading4"/>
      </w:pPr>
      <w:r>
        <w:t xml:space="preserve">2.3.6. Emission Factors</w:t>
      </w:r>
    </w:p>
    <w:p>
      <w:pPr>
        <w:pStyle w:val="FirstParagraph"/>
      </w:pPr>
      <w:r>
        <w:t xml:space="preserve">Industry-standard emission factors are utilized from reputable databases (e.g., Ecoinvent, DEFRA, EPA), where specific data is not provided, or generic values based on the most up-to-date available information from published reports are applied. These factors convert activity data (e.g., kWh of electricity, kg of material, tkm of transport) into CO2e emissions.</w:t>
      </w:r>
    </w:p>
    <w:p>
      <w:pPr>
        <w:numPr>
          <w:ilvl w:val="0"/>
          <w:numId w:val="1008"/>
        </w:numPr>
        <w:pStyle w:val="Compact"/>
      </w:pPr>
      <w:r>
        <w:t xml:space="preserve">Electricity Grid (China): 0.5568 kg CO2e/kWh (2021 MEE reported value)</w:t>
      </w:r>
    </w:p>
    <w:p>
      <w:pPr>
        <w:numPr>
          <w:ilvl w:val="0"/>
          <w:numId w:val="1008"/>
        </w:numPr>
        <w:pStyle w:val="Compact"/>
      </w:pPr>
      <w:r>
        <w:t xml:space="preserve">Electricity Grid (Europe): 0.238 kg CO2e/kWh (2019 EU average)</w:t>
      </w:r>
    </w:p>
    <w:p>
      <w:pPr>
        <w:numPr>
          <w:ilvl w:val="0"/>
          <w:numId w:val="1008"/>
        </w:numPr>
        <w:pStyle w:val="Compact"/>
      </w:pPr>
      <w:r>
        <w:t xml:space="preserve">Road Freight (Heavy Duty Truck): 0.10 kg CO2e/tkm (generic, conservative estimate based on various sources)</w:t>
      </w:r>
    </w:p>
    <w:p>
      <w:pPr>
        <w:numPr>
          <w:ilvl w:val="0"/>
          <w:numId w:val="1008"/>
        </w:numPr>
        <w:pStyle w:val="Compact"/>
      </w:pPr>
      <w:r>
        <w:t xml:space="preserve">Parcel Delivery Van: 0.24934 kg CO2e/km (average van, up to 3.5 tonnes)</w:t>
      </w:r>
    </w:p>
    <w:p>
      <w:pPr>
        <w:numPr>
          <w:ilvl w:val="0"/>
          <w:numId w:val="1008"/>
        </w:numPr>
        <w:pStyle w:val="Compact"/>
      </w:pPr>
      <w:r>
        <w:t xml:space="preserve">End-of-Life (Landfill, generic average): 0.05 kg CO2e/kg (for non-recycled product)</w:t>
      </w:r>
    </w:p>
    <w:p>
      <w:pPr>
        <w:numPr>
          <w:ilvl w:val="0"/>
          <w:numId w:val="1008"/>
        </w:numPr>
        <w:pStyle w:val="Compact"/>
      </w:pPr>
      <w:r>
        <w:t xml:space="preserve">End-of-Life (Recycling Credit, generic average for metals): -1.5 kg CO2e/kg (avoided emissions from virgin material production)</w:t>
      </w:r>
    </w:p>
    <w:p>
      <w:r>
        <w:pict>
          <v:rect style="width:0;height:1.5pt" o:hralign="center" o:hrstd="t" o:hr="t"/>
        </w:pict>
      </w:r>
    </w:p>
    <w:bookmarkEnd w:id="31"/>
    <w:bookmarkEnd w:id="32"/>
    <w:bookmarkEnd w:id="33"/>
    <w:bookmarkStart w:id="39" w:name="Xa1c80de6483e6b8f6727cfe8e27ac53a81f2902"/>
    <w:p>
      <w:pPr>
        <w:pStyle w:val="Heading2"/>
      </w:pPr>
      <w:r>
        <w:t xml:space="preserve">3. Detailed Breakdown of Materials and Energy Inputs (LCI)</w:t>
      </w:r>
    </w:p>
    <w:p>
      <w:pPr>
        <w:pStyle w:val="FirstParagraph"/>
      </w:pPr>
      <w:r>
        <w:t xml:space="preserve">This section details the primary inputs to the product\'s lifecycle, based on the provided parameters.</w:t>
      </w:r>
    </w:p>
    <w:bookmarkStart w:id="34" w:name="X766620aea5f8b9b789dee6a5f380e4cedba3f71"/>
    <w:p>
      <w:pPr>
        <w:pStyle w:val="Heading3"/>
      </w:pPr>
      <w:r>
        <w:t xml:space="preserve">3.1. Material Inputs (Detailed Bill of Materials - hxiodkdk)</w:t>
      </w:r>
    </w:p>
    <w:p>
      <w:pPr>
        <w:pStyle w:val="FirstParagraph"/>
      </w:pPr>
      <w:r>
        <w:t xml:space="preserve">The following table provides the detailed breakdown of materials used in tsdpjwizps, along with their respective quantities and pre-calculated carbon impact. These values directly contribute to the Scope 3 (Upstream)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Welding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2.0</w:t>
            </w:r>
          </w:p>
        </w:tc>
        <w:tc>
          <w:tcPr/>
          <w:p>
            <w:pPr>
              <w:pStyle w:val="Compact"/>
              <w:jc w:val="left"/>
            </w:pPr>
            <w:r>
              <w:t xml:space="preserve">3.0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2.5</w:t>
            </w:r>
          </w:p>
        </w:tc>
        <w:tc>
          <w:tcPr/>
          <w:p>
            <w:pPr>
              <w:pStyle w:val="Compact"/>
              <w:jc w:val="left"/>
            </w:pPr>
            <w:r>
              <w:t xml:space="preserve">2.0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gridSpan w:val="7"/>
          </w:tcPr>
          <w:p>
            <w:pPr>
              <w:pStyle w:val="Compact"/>
              <w:jc w:val="right"/>
            </w:pPr>
            <w:r>
              <w:rPr>
                <w:bCs/>
                <w:b/>
              </w:rPr>
              <w:t xml:space="preserve">Total Material Mass:</w:t>
            </w:r>
          </w:p>
        </w:tc>
        <w:tc>
          <w:tcPr/>
          <w:p>
            <w:pPr>
              <w:pStyle w:val="Compact"/>
              <w:jc w:val="left"/>
            </w:pPr>
            <w:r>
              <w:rPr>
                <w:bCs/>
                <w:b/>
              </w:rPr>
              <w:t xml:space="preserve">2.4 kg</w:t>
            </w:r>
          </w:p>
        </w:tc>
      </w:tr>
      <w:tr>
        <w:tc>
          <w:tcPr>
            <w:gridSpan w:val="7"/>
          </w:tcPr>
          <w:p>
            <w:pPr>
              <w:pStyle w:val="Compact"/>
              <w:jc w:val="right"/>
            </w:pPr>
            <w:r>
              <w:rPr>
                <w:bCs/>
                <w:b/>
              </w:rPr>
              <w:t xml:space="preserve">Total Material Emissions (Scope 3 Upstream):</w:t>
            </w:r>
          </w:p>
        </w:tc>
        <w:tc>
          <w:tcPr/>
          <w:p>
            <w:pPr>
              <w:pStyle w:val="Compact"/>
              <w:jc w:val="left"/>
            </w:pPr>
            <w:r>
              <w:rPr>
                <w:bCs/>
                <w:b/>
              </w:rPr>
              <w:t xml:space="preserve">6.5 kg CO2e</w:t>
            </w:r>
          </w:p>
        </w:tc>
      </w:tr>
    </w:tbl>
    <w:p>
      <w:pPr>
        <w:pStyle w:val="BodyText"/>
      </w:pPr>
      <w:r>
        <w:rPr>
          <w:iCs/>
          <w:i/>
        </w:rPr>
        <w:t xml:space="preserve">Note: The "Total Carbon (kg CO2e)" values were directly provided in the BOM data for each item and are used as is for material impact calculation. The \'Emission Factor\' column from the BOM is presented as provided, though the \'Total Carbon\' values were used for summation.</w:t>
      </w:r>
    </w:p>
    <w:bookmarkEnd w:id="34"/>
    <w:bookmarkStart w:id="35" w:name="energy-inputs-production-phase"/>
    <w:p>
      <w:pPr>
        <w:pStyle w:val="Heading3"/>
      </w:pPr>
      <w:r>
        <w:t xml:space="preserve">3.2. Energy Inputs (Production Phase)</w:t>
      </w:r>
    </w:p>
    <w:p>
      <w:pPr>
        <w:pStyle w:val="FirstParagraph"/>
      </w:pPr>
      <w:r>
        <w:t xml:space="preserve">The manufacturing process in China consumes electricity, with a portion sourced from renewable energy:</w:t>
      </w:r>
    </w:p>
    <w:p>
      <w:pPr>
        <w:numPr>
          <w:ilvl w:val="0"/>
          <w:numId w:val="1009"/>
        </w:numPr>
        <w:pStyle w:val="Compact"/>
      </w:pPr>
      <w:r>
        <w:rPr>
          <w:bCs/>
          <w:b/>
        </w:rPr>
        <w:t xml:space="preserve">Energy Intensity (kWh/unit):</w:t>
      </w:r>
      <w:r>
        <w:t xml:space="preserve"> </w:t>
      </w:r>
      <w:r>
        <w:t xml:space="preserve">`dwvldshnfk` (e.g., 100 kWh/unit)</w:t>
      </w:r>
    </w:p>
    <w:p>
      <w:pPr>
        <w:numPr>
          <w:ilvl w:val="0"/>
          <w:numId w:val="1009"/>
        </w:numPr>
        <w:pStyle w:val="Compact"/>
      </w:pPr>
      <w:r>
        <w:rPr>
          <w:bCs/>
          <w:b/>
        </w:rPr>
        <w:t xml:space="preserve">Renewable Energy Usage:</w:t>
      </w:r>
      <w:r>
        <w:t xml:space="preserve"> </w:t>
      </w:r>
      <w:r>
        <w:t xml:space="preserve">`pdzjrijggy` (e.g., 50%)</w:t>
      </w:r>
    </w:p>
    <w:p>
      <w:pPr>
        <w:numPr>
          <w:ilvl w:val="0"/>
          <w:numId w:val="1009"/>
        </w:numPr>
        <w:pStyle w:val="Compact"/>
      </w:pPr>
      <w:r>
        <w:rPr>
          <w:bCs/>
          <w:b/>
        </w:rPr>
        <w:t xml:space="preserve">Non-Renewable Electricity Consumed:</w:t>
      </w:r>
      <w:r>
        <w:t xml:space="preserve"> </w:t>
      </w:r>
      <w:r>
        <w:t xml:space="preserve">`dwvldshnfk` * (1 - `pdzjrijggy`/100) (e.g., 100 kWh * (1 - 0.50) = 50 kWh)</w:t>
      </w:r>
    </w:p>
    <w:p>
      <w:pPr>
        <w:numPr>
          <w:ilvl w:val="0"/>
          <w:numId w:val="1009"/>
        </w:numPr>
        <w:pStyle w:val="Compact"/>
      </w:pPr>
      <w:r>
        <w:rPr>
          <w:bCs/>
          <w:b/>
        </w:rPr>
        <w:t xml:space="preserve">Electricity Emission Factor (China):</w:t>
      </w:r>
      <w:r>
        <w:t xml:space="preserve"> </w:t>
      </w:r>
      <w:r>
        <w:t xml:space="preserve">0.5568 kg CO2e/kWh</w:t>
      </w:r>
    </w:p>
    <w:bookmarkEnd w:id="35"/>
    <w:bookmarkStart w:id="36" w:name="logistics-inputs"/>
    <w:p>
      <w:pPr>
        <w:pStyle w:val="Heading3"/>
      </w:pPr>
      <w:r>
        <w:t xml:space="preserve">3.3. Logistics Inputs</w:t>
      </w:r>
    </w:p>
    <w:p>
      <w:pPr>
        <w:pStyle w:val="FirstParagraph"/>
      </w:pPr>
      <w:r>
        <w:t xml:space="preserve">Transportation plays a critical role in the product\'s footprint:</w:t>
      </w:r>
    </w:p>
    <w:p>
      <w:pPr>
        <w:numPr>
          <w:ilvl w:val="0"/>
          <w:numId w:val="1010"/>
        </w:numPr>
        <w:pStyle w:val="Compact"/>
      </w:pPr>
      <w:r>
        <w:rPr>
          <w:bCs/>
          <w:b/>
        </w:rPr>
        <w:t xml:space="preserve">Main Transport Mode:</w:t>
      </w:r>
      <w:r>
        <w:t xml:space="preserve"> </w:t>
      </w:r>
      <w:r>
        <w:t xml:space="preserve">Select Mode (Assumed: Road Freight, Heavy Duty Truck)</w:t>
      </w:r>
    </w:p>
    <w:p>
      <w:pPr>
        <w:numPr>
          <w:ilvl w:val="0"/>
          <w:numId w:val="1010"/>
        </w:numPr>
        <w:pStyle w:val="Compact"/>
      </w:pPr>
      <w:r>
        <w:rPr>
          <w:bCs/>
          <w:b/>
        </w:rPr>
        <w:t xml:space="preserve">Main Transport Distance:</w:t>
      </w:r>
      <w:r>
        <w:t xml:space="preserve"> </w:t>
      </w:r>
      <w:r>
        <w:t xml:space="preserve">iyyfljnklk (e.g., 5000 km)</w:t>
      </w:r>
    </w:p>
    <w:p>
      <w:pPr>
        <w:numPr>
          <w:ilvl w:val="0"/>
          <w:numId w:val="1010"/>
        </w:numPr>
        <w:pStyle w:val="Compact"/>
      </w:pPr>
      <w:r>
        <w:rPr>
          <w:bCs/>
          <w:b/>
        </w:rPr>
        <w:t xml:space="preserve">Last-Mile Delivery Channel:</w:t>
      </w:r>
      <w:r>
        <w:t xml:space="preserve"> </w:t>
      </w:r>
      <w:r>
        <w:t xml:space="preserve">Delivery Type (Assumed: Parcel Delivery Van, e.g., 50 km)</w:t>
      </w:r>
    </w:p>
    <w:p>
      <w:pPr>
        <w:numPr>
          <w:ilvl w:val="0"/>
          <w:numId w:val="1010"/>
        </w:numPr>
        <w:pStyle w:val="Compact"/>
      </w:pPr>
      <w:r>
        <w:rPr>
          <w:bCs/>
          <w:b/>
        </w:rPr>
        <w:t xml:space="preserve">Product Weight (Total from BOM):</w:t>
      </w:r>
      <w:r>
        <w:t xml:space="preserve"> </w:t>
      </w:r>
      <w:r>
        <w:t xml:space="preserve">2.4 kg (used for tkm calculation)</w:t>
      </w:r>
    </w:p>
    <w:bookmarkEnd w:id="36"/>
    <w:bookmarkStart w:id="37" w:name="use-phase-energy-inputs"/>
    <w:p>
      <w:pPr>
        <w:pStyle w:val="Heading3"/>
      </w:pPr>
      <w:r>
        <w:t xml:space="preserve">3.4. Use Phase Energy Inputs</w:t>
      </w:r>
    </w:p>
    <w:p>
      <w:pPr>
        <w:pStyle w:val="FirstParagraph"/>
      </w:pPr>
      <w:r>
        <w:t xml:space="preserve">The energy consumed during the product\'s operational life:</w:t>
      </w:r>
    </w:p>
    <w:p>
      <w:pPr>
        <w:numPr>
          <w:ilvl w:val="0"/>
          <w:numId w:val="1011"/>
        </w:numPr>
        <w:pStyle w:val="Compact"/>
      </w:pPr>
      <w:r>
        <w:rPr>
          <w:bCs/>
          <w:b/>
        </w:rPr>
        <w:t xml:space="preserve">Product Lifespan:</w:t>
      </w:r>
      <w:r>
        <w:t xml:space="preserve"> </w:t>
      </w:r>
      <w:r>
        <w:t xml:space="preserve">rnkldmrwfu (e.g., 5 years)</w:t>
      </w:r>
    </w:p>
    <w:p>
      <w:pPr>
        <w:numPr>
          <w:ilvl w:val="0"/>
          <w:numId w:val="1011"/>
        </w:numPr>
        <w:pStyle w:val="Compact"/>
      </w:pPr>
      <w:r>
        <w:rPr>
          <w:bCs/>
          <w:b/>
        </w:rPr>
        <w:t xml:space="preserve">Energy Consumption in Use:</w:t>
      </w:r>
      <w:r>
        <w:t xml:space="preserve"> </w:t>
      </w:r>
      <w:r>
        <w:t xml:space="preserve">inekeuhkgi (e.g., 20 kWh/year)</w:t>
      </w:r>
    </w:p>
    <w:p>
      <w:pPr>
        <w:numPr>
          <w:ilvl w:val="0"/>
          <w:numId w:val="1011"/>
        </w:numPr>
        <w:pStyle w:val="Compact"/>
      </w:pPr>
      <w:r>
        <w:rPr>
          <w:bCs/>
          <w:b/>
        </w:rPr>
        <w:t xml:space="preserve">Total Energy Consumption (Use Phase):</w:t>
      </w:r>
      <w:r>
        <w:t xml:space="preserve"> </w:t>
      </w:r>
      <w:r>
        <w:t xml:space="preserve">rnkldmrwfu * inekeuhkgi (e.g., 5 years * 20 kWh/year = 100 kWh)</w:t>
      </w:r>
    </w:p>
    <w:p>
      <w:pPr>
        <w:numPr>
          <w:ilvl w:val="0"/>
          <w:numId w:val="1011"/>
        </w:numPr>
        <w:pStyle w:val="Compact"/>
      </w:pPr>
      <w:r>
        <w:rPr>
          <w:bCs/>
          <w:b/>
        </w:rPr>
        <w:t xml:space="preserve">Electricity Emission Factor (Europe):</w:t>
      </w:r>
      <w:r>
        <w:t xml:space="preserve"> </w:t>
      </w:r>
      <w:r>
        <w:t xml:space="preserve">0.238 kg CO2e/kWh (assuming primary use market is Europe given "Supply Chain Focus: Europe Focused")</w:t>
      </w:r>
    </w:p>
    <w:bookmarkEnd w:id="37"/>
    <w:bookmarkStart w:id="38" w:name="end-of-life-inputs"/>
    <w:p>
      <w:pPr>
        <w:pStyle w:val="Heading3"/>
      </w:pPr>
      <w:r>
        <w:t xml:space="preserve">3.5. End-of-Life Inputs</w:t>
      </w:r>
    </w:p>
    <w:p>
      <w:pPr>
        <w:pStyle w:val="FirstParagraph"/>
      </w:pPr>
      <w:r>
        <w:t xml:space="preserve">Management of the product at the end of its life:</w:t>
      </w:r>
    </w:p>
    <w:p>
      <w:pPr>
        <w:numPr>
          <w:ilvl w:val="0"/>
          <w:numId w:val="1012"/>
        </w:numPr>
        <w:pStyle w:val="Compact"/>
      </w:pPr>
      <w:r>
        <w:rPr>
          <w:bCs/>
          <w:b/>
        </w:rPr>
        <w:t xml:space="preserve">Recyclability Percentage:</w:t>
      </w:r>
      <w:r>
        <w:t xml:space="preserve"> </w:t>
      </w:r>
      <w:r>
        <w:t xml:space="preserve">siqgpnvhqg (e.g., 70%)</w:t>
      </w:r>
    </w:p>
    <w:p>
      <w:pPr>
        <w:numPr>
          <w:ilvl w:val="0"/>
          <w:numId w:val="1012"/>
        </w:numPr>
        <w:pStyle w:val="Compact"/>
      </w:pPr>
      <w:r>
        <w:rPr>
          <w:bCs/>
          <w:b/>
        </w:rPr>
        <w:t xml:space="preserve">Circular/Take-back Programs:</w:t>
      </w:r>
      <w:r>
        <w:t xml:space="preserve"> </w:t>
      </w:r>
      <w:r>
        <w:t xml:space="preserve">ofqungjpln (e.g., "Active") - These programs are expected to enhance actual recycling rates and ensure proper end-of-life management, leading to potential avoided emissions.</w:t>
      </w:r>
    </w:p>
    <w:bookmarkEnd w:id="38"/>
    <w:bookmarkEnd w:id="39"/>
    <w:p>
      <w:r>
        <w:pict>
          <v:rect style="width:0;height:1.5pt" o:hralign="center" o:hrstd="t" o:hr="t"/>
        </w:pict>
      </w:r>
    </w:p>
    <w:bookmarkStart w:id="46" w:name="Xdd1c2ba429305467bad58a0828410d9d0fce25c"/>
    <w:p>
      <w:pPr>
        <w:pStyle w:val="Heading2"/>
      </w:pPr>
      <w:r>
        <w:t xml:space="preserve">4. Emissions Calculation (Activity * Emission Factor = CO2e)</w:t>
      </w:r>
    </w:p>
    <w:p>
      <w:pPr>
        <w:pStyle w:val="FirstParagraph"/>
      </w:pPr>
      <w:r>
        <w:t xml:space="preserve">This section details the calculation of emissions for each lifecycle stage, categorized by GHG Protocol scopes. For placeholder values, a representative value is used for demonstration purposes. The total product mass is assumed to be 2.4 kg based on the BOM.</w:t>
      </w:r>
    </w:p>
    <w:bookmarkStart w:id="40" w:name="X98ad5504a1949fac97ed7eb8e8ec9c3ae233fe4"/>
    <w:p>
      <w:pPr>
        <w:pStyle w:val="Heading3"/>
      </w:pPr>
      <w:r>
        <w:t xml:space="preserve">4.1. Scope 3: Upstream Emissions (Materials Acquisition &amp; Pre-processing)</w:t>
      </w:r>
    </w:p>
    <w:p>
      <w:pPr>
        <w:pStyle w:val="FirstParagraph"/>
      </w:pPr>
      <w:r>
        <w:t xml:space="preserve">These emissions arise from the extraction, production, and processing of raw materials before they arrive at the manufacturing facility.</w:t>
      </w:r>
    </w:p>
    <w:p>
      <w:pPr>
        <w:numPr>
          <w:ilvl w:val="0"/>
          <w:numId w:val="1013"/>
        </w:numPr>
        <w:pStyle w:val="Compact"/>
      </w:pPr>
      <w:r>
        <w:rPr>
          <w:bCs/>
          <w:b/>
        </w:rPr>
        <w:t xml:space="preserve">Total Material Emissions:</w:t>
      </w:r>
      <w:r>
        <w:t xml:space="preserve"> </w:t>
      </w:r>
      <w:r>
        <w:t xml:space="preserve">6.5 kg CO2e (Sum from Detailed BOM)</w:t>
      </w:r>
    </w:p>
    <w:p>
      <w:pPr>
        <w:pStyle w:val="FirstParagraph"/>
      </w:pPr>
      <w:r>
        <w:rPr>
          <w:bCs/>
          <w:b/>
        </w:rPr>
        <w:t xml:space="preserve">Total Scope 3 Upstream (Materials): 6.5 kg CO2e</w:t>
      </w:r>
    </w:p>
    <w:bookmarkEnd w:id="40"/>
    <w:bookmarkStart w:id="41" w:name="scope-2-purchased-energy-manufacturing"/>
    <w:p>
      <w:pPr>
        <w:pStyle w:val="Heading3"/>
      </w:pPr>
      <w:r>
        <w:t xml:space="preserve">4.2. Scope 2: Purchased Energy (Manufacturing)</w:t>
      </w:r>
    </w:p>
    <w:p>
      <w:pPr>
        <w:pStyle w:val="FirstParagraph"/>
      </w:pPr>
      <w:r>
        <w:t xml:space="preserve">These are indirect emissions from the generation of purchased electricity consumed during the manufacturing of tsdpjwizps in China.</w:t>
      </w:r>
    </w:p>
    <w:p>
      <w:pPr>
        <w:numPr>
          <w:ilvl w:val="0"/>
          <w:numId w:val="1014"/>
        </w:numPr>
        <w:pStyle w:val="Compact"/>
      </w:pPr>
      <w:r>
        <w:rPr>
          <w:bCs/>
          <w:b/>
        </w:rPr>
        <w:t xml:space="preserve">Energy Intensity (kWh/unit):</w:t>
      </w:r>
      <w:r>
        <w:t xml:space="preserve"> </w:t>
      </w:r>
      <w:r>
        <w:t xml:space="preserve">Assume `dwvldshnfk` = 100 kWh/unit</w:t>
      </w:r>
    </w:p>
    <w:p>
      <w:pPr>
        <w:numPr>
          <w:ilvl w:val="0"/>
          <w:numId w:val="1014"/>
        </w:numPr>
        <w:pStyle w:val="Compact"/>
      </w:pPr>
      <w:r>
        <w:rPr>
          <w:bCs/>
          <w:b/>
        </w:rPr>
        <w:t xml:space="preserve">Renewable Energy Usage:</w:t>
      </w:r>
      <w:r>
        <w:t xml:space="preserve"> </w:t>
      </w:r>
      <w:r>
        <w:t xml:space="preserve">Assume `pdzjrijggy` = 50%</w:t>
      </w:r>
    </w:p>
    <w:p>
      <w:pPr>
        <w:numPr>
          <w:ilvl w:val="0"/>
          <w:numId w:val="1014"/>
        </w:numPr>
        <w:pStyle w:val="Compact"/>
      </w:pPr>
      <w:r>
        <w:rPr>
          <w:bCs/>
          <w:b/>
        </w:rPr>
        <w:t xml:space="preserve">Non-Renewable Energy:</w:t>
      </w:r>
      <w:r>
        <w:t xml:space="preserve"> </w:t>
      </w:r>
      <w:r>
        <w:t xml:space="preserve">100 kWh * (1 - 0.50) = 50 kWh</w:t>
      </w:r>
    </w:p>
    <w:p>
      <w:pPr>
        <w:numPr>
          <w:ilvl w:val="0"/>
          <w:numId w:val="1014"/>
        </w:numPr>
        <w:pStyle w:val="Compact"/>
      </w:pPr>
      <w:r>
        <w:rPr>
          <w:bCs/>
          <w:b/>
        </w:rPr>
        <w:t xml:space="preserve">Emission Factor (China Grid):</w:t>
      </w:r>
      <w:r>
        <w:t xml:space="preserve"> </w:t>
      </w:r>
      <w:r>
        <w:t xml:space="preserve">0.5568 kg CO2e/kWh</w:t>
      </w:r>
    </w:p>
    <w:p>
      <w:pPr>
        <w:numPr>
          <w:ilvl w:val="0"/>
          <w:numId w:val="1014"/>
        </w:numPr>
        <w:pStyle w:val="Compact"/>
      </w:pPr>
      <w:r>
        <w:rPr>
          <w:bCs/>
          <w:b/>
        </w:rPr>
        <w:t xml:space="preserve">Calculated Emissions:</w:t>
      </w:r>
      <w:r>
        <w:t xml:space="preserve"> </w:t>
      </w:r>
      <w:r>
        <w:t xml:space="preserve">50 kWh * 0.5568 kg CO2e/kWh = 27.84 kg CO2e</w:t>
      </w:r>
    </w:p>
    <w:p>
      <w:pPr>
        <w:pStyle w:val="FirstParagraph"/>
      </w:pPr>
      <w:r>
        <w:rPr>
          <w:bCs/>
          <w:b/>
        </w:rPr>
        <w:t xml:space="preserve">Total Scope 2 (Manufacturing Energy): 27.84 kg CO2e</w:t>
      </w:r>
    </w:p>
    <w:bookmarkEnd w:id="41"/>
    <w:bookmarkStart w:id="42" w:name="Xcca76a644e3fb4ac3c308a88907a0d27c9dae87"/>
    <w:p>
      <w:pPr>
        <w:pStyle w:val="Heading3"/>
      </w:pPr>
      <w:r>
        <w:t xml:space="preserve">4.3. Scope 3: Upstream &amp; Downstream Transportation</w:t>
      </w:r>
    </w:p>
    <w:p>
      <w:pPr>
        <w:pStyle w:val="FirstParagraph"/>
      </w:pPr>
      <w:r>
        <w:t xml:space="preserve">This includes transport of components to the factory (upstream) and finished products to the customer (downstream). For simplicity and as per parameters, we focus on outbound transport and last-mile delivery as key downstream components.</w:t>
      </w:r>
    </w:p>
    <w:p>
      <w:pPr>
        <w:numPr>
          <w:ilvl w:val="0"/>
          <w:numId w:val="1015"/>
        </w:numPr>
        <w:pStyle w:val="Compact"/>
      </w:pPr>
      <w:r>
        <w:rPr>
          <w:bCs/>
          <w:b/>
        </w:rPr>
        <w:t xml:space="preserve">Product Weight:</w:t>
      </w:r>
      <w:r>
        <w:t xml:space="preserve"> </w:t>
      </w:r>
      <w:r>
        <w:t xml:space="preserve">2.4 kg</w:t>
      </w:r>
    </w:p>
    <w:p>
      <w:pPr>
        <w:numPr>
          <w:ilvl w:val="0"/>
          <w:numId w:val="1015"/>
        </w:numPr>
        <w:pStyle w:val="Compact"/>
      </w:pPr>
      <w:r>
        <w:rPr>
          <w:bCs/>
          <w:b/>
        </w:rPr>
        <w:t xml:space="preserve">Main Transport Mode:</w:t>
      </w:r>
      <w:r>
        <w:t xml:space="preserve"> </w:t>
      </w:r>
      <w:r>
        <w:t xml:space="preserve">Road Freight (Heavy Duty Truck)</w:t>
      </w:r>
    </w:p>
    <w:p>
      <w:pPr>
        <w:numPr>
          <w:ilvl w:val="0"/>
          <w:numId w:val="1015"/>
        </w:numPr>
        <w:pStyle w:val="Compact"/>
      </w:pPr>
      <w:r>
        <w:rPr>
          <w:bCs/>
          <w:b/>
        </w:rPr>
        <w:t xml:space="preserve">Main Transport Distance:</w:t>
      </w:r>
      <w:r>
        <w:t xml:space="preserve"> </w:t>
      </w:r>
      <w:r>
        <w:t xml:space="preserve">Assume `iyyfljnklk` = 5000 km</w:t>
      </w:r>
    </w:p>
    <w:p>
      <w:pPr>
        <w:numPr>
          <w:ilvl w:val="0"/>
          <w:numId w:val="1015"/>
        </w:numPr>
        <w:pStyle w:val="Compact"/>
      </w:pPr>
      <w:r>
        <w:rPr>
          <w:bCs/>
          <w:b/>
        </w:rPr>
        <w:t xml:space="preserve">Emission Factor (Road Freight):</w:t>
      </w:r>
      <w:r>
        <w:t xml:space="preserve"> </w:t>
      </w:r>
      <w:r>
        <w:t xml:space="preserve">0.10 kg CO2e/tkm</w:t>
      </w:r>
    </w:p>
    <w:p>
      <w:pPr>
        <w:numPr>
          <w:ilvl w:val="0"/>
          <w:numId w:val="1015"/>
        </w:numPr>
        <w:pStyle w:val="Compact"/>
      </w:pPr>
      <w:r>
        <w:rPr>
          <w:bCs/>
          <w:b/>
        </w:rPr>
        <w:t xml:space="preserve">Calculated Main Transport Emissions:</w:t>
      </w:r>
      <w:r>
        <w:t xml:space="preserve"> </w:t>
      </w:r>
      <w:r>
        <w:t xml:space="preserve">(2.4 kg / 1000 kg/tonne) * 5000 km * 0.10 kg CO2e/tkm = 1.2 kg CO2e</w:t>
      </w:r>
    </w:p>
    <w:p>
      <w:pPr>
        <w:numPr>
          <w:ilvl w:val="0"/>
          <w:numId w:val="1015"/>
        </w:numPr>
        <w:pStyle w:val="Compact"/>
      </w:pPr>
      <w:r>
        <w:rPr>
          <w:bCs/>
          <w:b/>
        </w:rPr>
        <w:t xml:space="preserve">Last-Mile Delivery Channel:</w:t>
      </w:r>
      <w:r>
        <w:t xml:space="preserve"> </w:t>
      </w:r>
      <w:r>
        <w:t xml:space="preserve">Parcel Delivery Van</w:t>
      </w:r>
    </w:p>
    <w:p>
      <w:pPr>
        <w:numPr>
          <w:ilvl w:val="0"/>
          <w:numId w:val="1015"/>
        </w:numPr>
        <w:pStyle w:val="Compact"/>
      </w:pPr>
      <w:r>
        <w:rPr>
          <w:bCs/>
          <w:b/>
        </w:rPr>
        <w:t xml:space="preserve">Assumed Last-Mile Distance:</w:t>
      </w:r>
      <w:r>
        <w:t xml:space="preserve"> </w:t>
      </w:r>
      <w:r>
        <w:t xml:space="preserve">50 km</w:t>
      </w:r>
    </w:p>
    <w:p>
      <w:pPr>
        <w:numPr>
          <w:ilvl w:val="0"/>
          <w:numId w:val="1015"/>
        </w:numPr>
        <w:pStyle w:val="Compact"/>
      </w:pPr>
      <w:r>
        <w:rPr>
          <w:bCs/>
          <w:b/>
        </w:rPr>
        <w:t xml:space="preserve">Emission Factor (Parcel Delivery Van):</w:t>
      </w:r>
      <w:r>
        <w:t xml:space="preserve"> </w:t>
      </w:r>
      <w:r>
        <w:t xml:space="preserve">0.24934 kg CO2e/km</w:t>
      </w:r>
    </w:p>
    <w:p>
      <w:pPr>
        <w:numPr>
          <w:ilvl w:val="0"/>
          <w:numId w:val="1015"/>
        </w:numPr>
        <w:pStyle w:val="Compact"/>
      </w:pPr>
      <w:r>
        <w:rPr>
          <w:bCs/>
          <w:b/>
        </w:rPr>
        <w:t xml:space="preserve">Calculated Last-Mile Emissions:</w:t>
      </w:r>
      <w:r>
        <w:t xml:space="preserve"> </w:t>
      </w:r>
      <w:r>
        <w:t xml:space="preserve">50 km * 0.24934 kg CO2e/km = 12.47 kg CO2e</w:t>
      </w:r>
    </w:p>
    <w:p>
      <w:pPr>
        <w:pStyle w:val="FirstParagraph"/>
      </w:pPr>
      <w:r>
        <w:rPr>
          <w:bCs/>
          <w:b/>
        </w:rPr>
        <w:t xml:space="preserve">Total Scope 3 Transport (Outbound): 13.67 kg CO2e</w:t>
      </w:r>
    </w:p>
    <w:bookmarkEnd w:id="42"/>
    <w:bookmarkStart w:id="43" w:name="scope-3-downstream-emissions-use-phase"/>
    <w:p>
      <w:pPr>
        <w:pStyle w:val="Heading3"/>
      </w:pPr>
      <w:r>
        <w:t xml:space="preserve">4.4. Scope 3: Downstream Emissions (Use Phase)</w:t>
      </w:r>
    </w:p>
    <w:p>
      <w:pPr>
        <w:pStyle w:val="FirstParagraph"/>
      </w:pPr>
      <w:r>
        <w:t xml:space="preserve">Emissions from the energy consumed by the product during its operational lifespan.</w:t>
      </w:r>
    </w:p>
    <w:p>
      <w:pPr>
        <w:numPr>
          <w:ilvl w:val="0"/>
          <w:numId w:val="1016"/>
        </w:numPr>
        <w:pStyle w:val="Compact"/>
      </w:pPr>
      <w:r>
        <w:rPr>
          <w:bCs/>
          <w:b/>
        </w:rPr>
        <w:t xml:space="preserve">Product Lifespan:</w:t>
      </w:r>
      <w:r>
        <w:t xml:space="preserve"> </w:t>
      </w:r>
      <w:r>
        <w:t xml:space="preserve">Assume `rnkldmrwfu` = 5 years</w:t>
      </w:r>
    </w:p>
    <w:p>
      <w:pPr>
        <w:numPr>
          <w:ilvl w:val="0"/>
          <w:numId w:val="1016"/>
        </w:numPr>
        <w:pStyle w:val="Compact"/>
      </w:pPr>
      <w:r>
        <w:rPr>
          <w:bCs/>
          <w:b/>
        </w:rPr>
        <w:t xml:space="preserve">Energy Consumption in Use:</w:t>
      </w:r>
      <w:r>
        <w:t xml:space="preserve"> </w:t>
      </w:r>
      <w:r>
        <w:t xml:space="preserve">Assume `inekeuhkgi` = 20 kWh/year</w:t>
      </w:r>
    </w:p>
    <w:p>
      <w:pPr>
        <w:numPr>
          <w:ilvl w:val="0"/>
          <w:numId w:val="1016"/>
        </w:numPr>
        <w:pStyle w:val="Compact"/>
      </w:pPr>
      <w:r>
        <w:rPr>
          <w:bCs/>
          <w:b/>
        </w:rPr>
        <w:t xml:space="preserve">Total Energy Consumption:</w:t>
      </w:r>
      <w:r>
        <w:t xml:space="preserve"> </w:t>
      </w:r>
      <w:r>
        <w:t xml:space="preserve">5 years * 20 kWh/year = 100 kWh</w:t>
      </w:r>
    </w:p>
    <w:p>
      <w:pPr>
        <w:numPr>
          <w:ilvl w:val="0"/>
          <w:numId w:val="1016"/>
        </w:numPr>
        <w:pStyle w:val="Compact"/>
      </w:pPr>
      <w:r>
        <w:rPr>
          <w:bCs/>
          <w:b/>
        </w:rPr>
        <w:t xml:space="preserve">Emission Factor (Europe Grid):</w:t>
      </w:r>
      <w:r>
        <w:t xml:space="preserve"> </w:t>
      </w:r>
      <w:r>
        <w:t xml:space="preserve">0.238 kg CO2e/kWh</w:t>
      </w:r>
    </w:p>
    <w:p>
      <w:pPr>
        <w:numPr>
          <w:ilvl w:val="0"/>
          <w:numId w:val="1016"/>
        </w:numPr>
        <w:pStyle w:val="Compact"/>
      </w:pPr>
      <w:r>
        <w:rPr>
          <w:bCs/>
          <w:b/>
        </w:rPr>
        <w:t xml:space="preserve">Calculated Emissions:</w:t>
      </w:r>
      <w:r>
        <w:t xml:space="preserve"> </w:t>
      </w:r>
      <w:r>
        <w:t xml:space="preserve">100 kWh * 0.238 kg CO2e/kWh = 23.8 kg CO2e</w:t>
      </w:r>
    </w:p>
    <w:p>
      <w:pPr>
        <w:pStyle w:val="FirstParagraph"/>
      </w:pPr>
      <w:r>
        <w:rPr>
          <w:bCs/>
          <w:b/>
        </w:rPr>
        <w:t xml:space="preserve">Total Scope 3 Use Phase: 23.8 kg CO2e</w:t>
      </w:r>
    </w:p>
    <w:bookmarkEnd w:id="43"/>
    <w:bookmarkStart w:id="44" w:name="X4b1f042aad56480c5818d5681c7ed7c1d1bac3a"/>
    <w:p>
      <w:pPr>
        <w:pStyle w:val="Heading3"/>
      </w:pPr>
      <w:r>
        <w:t xml:space="preserve">4.5. Scope 3: Downstream Emissions (End-of-Life Treatment)</w:t>
      </w:r>
    </w:p>
    <w:p>
      <w:pPr>
        <w:pStyle w:val="FirstParagraph"/>
      </w:pPr>
      <w:r>
        <w:t xml:space="preserve">Emissions and potential credits associated with the disposal and recycling of the product at the end of its life.</w:t>
      </w:r>
    </w:p>
    <w:p>
      <w:pPr>
        <w:numPr>
          <w:ilvl w:val="0"/>
          <w:numId w:val="1017"/>
        </w:numPr>
        <w:pStyle w:val="Compact"/>
      </w:pPr>
      <w:r>
        <w:rPr>
          <w:bCs/>
          <w:b/>
        </w:rPr>
        <w:t xml:space="preserve">Recyclability Percentage:</w:t>
      </w:r>
      <w:r>
        <w:t xml:space="preserve"> </w:t>
      </w:r>
      <w:r>
        <w:t xml:space="preserve">Assume `siqgpnvhqg` = 70%</w:t>
      </w:r>
    </w:p>
    <w:p>
      <w:pPr>
        <w:numPr>
          <w:ilvl w:val="0"/>
          <w:numId w:val="1017"/>
        </w:numPr>
        <w:pStyle w:val="Compact"/>
      </w:pPr>
      <w:r>
        <w:rPr>
          <w:bCs/>
          <w:b/>
        </w:rPr>
        <w:t xml:space="preserve">Product Total Weight:</w:t>
      </w:r>
      <w:r>
        <w:t xml:space="preserve"> </w:t>
      </w:r>
      <w:r>
        <w:t xml:space="preserve">2.4 kg</w:t>
      </w:r>
    </w:p>
    <w:p>
      <w:pPr>
        <w:numPr>
          <w:ilvl w:val="0"/>
          <w:numId w:val="1017"/>
        </w:numPr>
        <w:pStyle w:val="Compact"/>
      </w:pPr>
      <w:r>
        <w:rPr>
          <w:bCs/>
          <w:b/>
        </w:rPr>
        <w:t xml:space="preserve">Weight Recycled:</w:t>
      </w:r>
      <w:r>
        <w:t xml:space="preserve"> </w:t>
      </w:r>
      <w:r>
        <w:t xml:space="preserve">2.4 kg * 0.70 = 1.68 kg</w:t>
      </w:r>
    </w:p>
    <w:p>
      <w:pPr>
        <w:numPr>
          <w:ilvl w:val="0"/>
          <w:numId w:val="1017"/>
        </w:numPr>
        <w:pStyle w:val="Compact"/>
      </w:pPr>
      <w:r>
        <w:rPr>
          <w:bCs/>
          <w:b/>
        </w:rPr>
        <w:t xml:space="preserve">Weight Landfilled:</w:t>
      </w:r>
      <w:r>
        <w:t xml:space="preserve"> </w:t>
      </w:r>
      <w:r>
        <w:t xml:space="preserve">2.4 kg * (1 - 0.70) = 0.72 kg</w:t>
      </w:r>
    </w:p>
    <w:p>
      <w:pPr>
        <w:numPr>
          <w:ilvl w:val="0"/>
          <w:numId w:val="1017"/>
        </w:numPr>
        <w:pStyle w:val="Compact"/>
      </w:pPr>
      <w:r>
        <w:rPr>
          <w:bCs/>
          <w:b/>
        </w:rPr>
        <w:t xml:space="preserve">Recycling Credit (Generic, for metals/high-value materials):</w:t>
      </w:r>
      <w:r>
        <w:t xml:space="preserve"> </w:t>
      </w:r>
      <w:r>
        <w:t xml:space="preserve">-1.5 kg CO2e/kg (avoided emissions)</w:t>
      </w:r>
    </w:p>
    <w:p>
      <w:pPr>
        <w:numPr>
          <w:ilvl w:val="0"/>
          <w:numId w:val="1017"/>
        </w:numPr>
        <w:pStyle w:val="Compact"/>
      </w:pPr>
      <w:r>
        <w:rPr>
          <w:bCs/>
          <w:b/>
        </w:rPr>
        <w:t xml:space="preserve">Calculated Recycling Credit:</w:t>
      </w:r>
      <w:r>
        <w:t xml:space="preserve"> </w:t>
      </w:r>
      <w:r>
        <w:t xml:space="preserve">1.68 kg * -1.5 kg CO2e/kg = -2.52 kg CO2e</w:t>
      </w:r>
    </w:p>
    <w:p>
      <w:pPr>
        <w:numPr>
          <w:ilvl w:val="0"/>
          <w:numId w:val="1017"/>
        </w:numPr>
        <w:pStyle w:val="Compact"/>
      </w:pPr>
      <w:r>
        <w:rPr>
          <w:bCs/>
          <w:b/>
        </w:rPr>
        <w:t xml:space="preserve">Landfill Emissions (Generic Average):</w:t>
      </w:r>
      <w:r>
        <w:t xml:space="preserve"> </w:t>
      </w:r>
      <w:r>
        <w:t xml:space="preserve">0.05 kg CO2e/kg</w:t>
      </w:r>
    </w:p>
    <w:p>
      <w:pPr>
        <w:numPr>
          <w:ilvl w:val="0"/>
          <w:numId w:val="1017"/>
        </w:numPr>
        <w:pStyle w:val="Compact"/>
      </w:pPr>
      <w:r>
        <w:rPr>
          <w:bCs/>
          <w:b/>
        </w:rPr>
        <w:t xml:space="preserve">Calculated Landfill Emissions:</w:t>
      </w:r>
      <w:r>
        <w:t xml:space="preserve"> </w:t>
      </w:r>
      <w:r>
        <w:t xml:space="preserve">0.72 kg * 0.05 kg CO2e/kg = 0.036 kg CO2e</w:t>
      </w:r>
    </w:p>
    <w:p>
      <w:pPr>
        <w:pStyle w:val="FirstParagraph"/>
      </w:pPr>
      <w:r>
        <w:rPr>
          <w:bCs/>
          <w:b/>
        </w:rPr>
        <w:t xml:space="preserve">Total Scope 3 End-of-Life: -2.484 kg CO2e (Net Credit)</w:t>
      </w:r>
    </w:p>
    <w:p>
      <w:pPr>
        <w:pStyle w:val="BodyText"/>
      </w:pPr>
      <w:r>
        <w:rPr>
          <w:iCs/>
          <w:i/>
        </w:rPr>
        <w:t xml:space="preserve">The presence of \'Circular/Take-back Programs: ofqungjpln\' further supports the high recyclability and potential for avoided emissions, ensuring that materials are managed responsibly and re-enter the economy.</w:t>
      </w:r>
    </w:p>
    <w:bookmarkEnd w:id="44"/>
    <w:bookmarkStart w:id="45" w:name="X9b8f96e5fd6ec30b02c91cc11d45f1568d9808c"/>
    <w:p>
      <w:pPr>
        <w:pStyle w:val="Heading3"/>
      </w:pPr>
      <w:r>
        <w:t xml:space="preserve">4.6. Summary of Emissions by Scope and Lifecycle Stage</w:t>
      </w:r>
    </w:p>
    <w:p>
      <w:pPr>
        <w:pStyle w:val="FirstParagraph"/>
      </w:pPr>
      <w:r>
        <w:t xml:space="preserve">The total Product Carbon Footprint for tsdpjwizps, broken down by GHG Protocol scopes and lifecycle stages,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6.50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27.84</w:t>
            </w:r>
          </w:p>
        </w:tc>
      </w:tr>
      <w:tr>
        <w:tc>
          <w:tcPr/>
          <w:p>
            <w:pPr>
              <w:pStyle w:val="Compact"/>
              <w:jc w:val="left"/>
            </w:pPr>
            <w:r>
              <w:t xml:space="preserve">Transport (Outbound to Customer)</w:t>
            </w:r>
          </w:p>
        </w:tc>
        <w:tc>
          <w:tcPr/>
          <w:p>
            <w:pPr>
              <w:pStyle w:val="Compact"/>
              <w:jc w:val="left"/>
            </w:pPr>
            <w:r>
              <w:t xml:space="preserve">Scope 3 (Downstream)</w:t>
            </w:r>
          </w:p>
        </w:tc>
        <w:tc>
          <w:tcPr/>
          <w:p>
            <w:pPr>
              <w:pStyle w:val="Compact"/>
              <w:jc w:val="left"/>
            </w:pPr>
            <w:r>
              <w:t xml:space="preserve">13.67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23.80</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-2.484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69.326 kg CO2e</w:t>
            </w:r>
          </w:p>
        </w:tc>
      </w:tr>
    </w:tbl>
    <w:p>
      <w:r>
        <w:pict>
          <v:rect style="width:0;height:1.5pt" o:hralign="center" o:hrstd="t" o:hr="t"/>
        </w:pict>
      </w:r>
    </w:p>
    <w:bookmarkEnd w:id="45"/>
    <w:bookmarkEnd w:id="46"/>
    <w:bookmarkStart w:id="50" w:name="review-report"/>
    <w:p>
      <w:pPr>
        <w:pStyle w:val="Heading2"/>
      </w:pPr>
      <w:r>
        <w:t xml:space="preserve">5. Review &amp; Report</w:t>
      </w:r>
    </w:p>
    <w:bookmarkStart w:id="47" w:name="emission-hotspots"/>
    <w:p>
      <w:pPr>
        <w:pStyle w:val="Heading3"/>
      </w:pPr>
      <w:r>
        <w:t xml:space="preserve">5.1. Emission Hotspots</w:t>
      </w:r>
    </w:p>
    <w:p>
      <w:pPr>
        <w:pStyle w:val="FirstParagraph"/>
      </w:pPr>
      <w:r>
        <w:t xml:space="preserve">Based on the calculations, the primary emission hotspots for tsdpjwizps are:</w:t>
      </w:r>
    </w:p>
    <w:p>
      <w:pPr>
        <w:numPr>
          <w:ilvl w:val="0"/>
          <w:numId w:val="1018"/>
        </w:numPr>
        <w:pStyle w:val="Compact"/>
      </w:pPr>
      <w:r>
        <w:rPr>
          <w:bCs/>
          <w:b/>
        </w:rPr>
        <w:t xml:space="preserve">Manufacturing Energy (Scope 2):</w:t>
      </w:r>
      <w:r>
        <w:t xml:space="preserve"> </w:t>
      </w:r>
      <w:r>
        <w:t xml:space="preserve">Constitutes a significant portion (27.84 kg CO2e) due to the energy intensity of production and the emission factor of the Chinese grid, even with 50% renewable energy usage. Further decarbonization of the energy mix or increased energy efficiency in manufacturing can yield substantial reductions.</w:t>
      </w:r>
    </w:p>
    <w:p>
      <w:pPr>
        <w:numPr>
          <w:ilvl w:val="0"/>
          <w:numId w:val="1018"/>
        </w:numPr>
        <w:pStyle w:val="Compact"/>
      </w:pPr>
      <w:r>
        <w:rPr>
          <w:bCs/>
          <w:b/>
        </w:rPr>
        <w:t xml:space="preserve">Use Phase (Scope 3 Downstream):</w:t>
      </w:r>
      <w:r>
        <w:t xml:space="preserve"> </w:t>
      </w:r>
      <w:r>
        <w:t xml:space="preserve">The product\'s energy consumption during its lifespan contributes substantially (23.80 kg CO2e), particularly if used in regions with higher carbon intensity electricity grids. Optimizing product energy efficiency and encouraging renewable energy sources for end-users are key.</w:t>
      </w:r>
    </w:p>
    <w:p>
      <w:pPr>
        <w:numPr>
          <w:ilvl w:val="0"/>
          <w:numId w:val="1018"/>
        </w:numPr>
        <w:pStyle w:val="Compact"/>
      </w:pPr>
      <w:r>
        <w:rPr>
          <w:bCs/>
          <w:b/>
        </w:rPr>
        <w:t xml:space="preserve">Materials (Scope 3 Upstream):</w:t>
      </w:r>
      <w:r>
        <w:t xml:space="preserve"> </w:t>
      </w:r>
      <w:r>
        <w:t xml:space="preserve">The embodied emissions in raw materials (6.5 kg CO2e) highlight the importance of sustainable sourcing, utilizing materials with lower carbon footprints, and increasing recycled content.</w:t>
      </w:r>
    </w:p>
    <w:p>
      <w:pPr>
        <w:numPr>
          <w:ilvl w:val="0"/>
          <w:numId w:val="1018"/>
        </w:numPr>
        <w:pStyle w:val="Compact"/>
      </w:pPr>
      <w:r>
        <w:rPr>
          <w:bCs/>
          <w:b/>
        </w:rPr>
        <w:t xml:space="preserve">Last-Mile Delivery (Scope 3 Downstream):</w:t>
      </w:r>
      <w:r>
        <w:t xml:space="preserve"> </w:t>
      </w:r>
      <w:r>
        <w:t xml:space="preserve">The last-mile delivery, despite the short distance, shows a notable impact (12.47 kg CO2e) due to the nature of parcel delivery emissions per km. Optimizing delivery routes, using electric vehicles, or consolidating shipments can reduce this impact.</w:t>
      </w:r>
    </w:p>
    <w:bookmarkEnd w:id="47"/>
    <w:bookmarkStart w:id="48" w:name="X86b565fe3c57f961eed0a6fe463b0dbb0475a9c"/>
    <w:p>
      <w:pPr>
        <w:pStyle w:val="Heading3"/>
      </w:pPr>
      <w:r>
        <w:t xml:space="preserve">5.2. Reliability Assessment and Data Limitations</w:t>
      </w:r>
    </w:p>
    <w:p>
      <w:pPr>
        <w:pStyle w:val="FirstParagraph"/>
      </w:pPr>
      <w:r>
        <w:t xml:space="preserve">The reliability of this PCF analysis is contingent on the accuracy and completeness of the input data:</w:t>
      </w:r>
    </w:p>
    <w:p>
      <w:pPr>
        <w:numPr>
          <w:ilvl w:val="0"/>
          <w:numId w:val="1019"/>
        </w:numPr>
        <w:pStyle w:val="Compact"/>
      </w:pPr>
      <w:r>
        <w:rPr>
          <w:bCs/>
          <w:b/>
        </w:rPr>
        <w:t xml:space="preserve">Primary Data:</w:t>
      </w:r>
      <w:r>
        <w:t xml:space="preserve"> </w:t>
      </w:r>
      <w:r>
        <w:t xml:space="preserve">Specific parameters such as `hxiodkdk`, `iyyfljnklk`, `dwvldshnfk`, `pdzjrijggy`, `rnkldmrwfu`, `inekeuhkgi`, `siqgpnvhqg`, and `ofqungjpln` were used directly as provided, enhancing accuracy for those specific inputs.</w:t>
      </w:r>
    </w:p>
    <w:p>
      <w:pPr>
        <w:numPr>
          <w:ilvl w:val="0"/>
          <w:numId w:val="1019"/>
        </w:numPr>
        <w:pStyle w:val="Compact"/>
      </w:pPr>
      <w:r>
        <w:rPr>
          <w:bCs/>
          <w:b/>
        </w:rPr>
        <w:t xml:space="preserve">Secondary Data &amp; Assumptions:</w:t>
      </w:r>
      <w:r>
        <w:t xml:space="preserve"> </w:t>
      </w:r>
      <w:r>
        <w:t xml:space="preserve">Where specific data was not provided (e.g., exact transport modes details, precise EoL processing for all components, country-specific electricity mixes for use phase beyond general EU average), industry-average emission factors from publicly available sources (e.g., IEA, MEE, Climatiq, DEFRA) were applied. These generic factors introduce a degree of uncertainty, although they represent accepted proxies.</w:t>
      </w:r>
    </w:p>
    <w:p>
      <w:pPr>
        <w:numPr>
          <w:ilvl w:val="0"/>
          <w:numId w:val="1019"/>
        </w:numPr>
        <w:pStyle w:val="Compact"/>
      </w:pPr>
      <w:r>
        <w:rPr>
          <w:bCs/>
          <w:b/>
        </w:rPr>
        <w:t xml:space="preserve">Dynamic Factors:</w:t>
      </w:r>
      <w:r>
        <w:t xml:space="preserve"> </w:t>
      </w:r>
      <w:r>
        <w:t xml:space="preserve">Emission factors, particularly for electricity grids and transport, are dynamic and subject to change over time due to technological advancements and policy shifts. The factors used reflect the most current available data but may evolve.</w:t>
      </w:r>
    </w:p>
    <w:p>
      <w:pPr>
        <w:numPr>
          <w:ilvl w:val="0"/>
          <w:numId w:val="1019"/>
        </w:numPr>
        <w:pStyle w:val="Compact"/>
      </w:pPr>
      <w:r>
        <w:rPr>
          <w:bCs/>
          <w:b/>
        </w:rPr>
        <w:t xml:space="preserve">System Boundary Interpretation:</w:t>
      </w:r>
      <w:r>
        <w:t xml:space="preserve"> </w:t>
      </w:r>
      <w:r>
        <w:t xml:space="preserve">The interpretation of "factory_gate" for Scope 1 &amp; 2 combined with the inclusion of downstream elements (transport, use, EoL) aligns with a comprehensive lifecycle view, which is essential for holistic PCF reporting.</w:t>
      </w:r>
    </w:p>
    <w:p>
      <w:pPr>
        <w:numPr>
          <w:ilvl w:val="0"/>
          <w:numId w:val="1019"/>
        </w:numPr>
        <w:pStyle w:val="Compact"/>
      </w:pPr>
      <w:r>
        <w:rPr>
          <w:bCs/>
          <w:b/>
        </w:rPr>
        <w:t xml:space="preserve">LSR Standard:</w:t>
      </w:r>
      <w:r>
        <w:t xml:space="preserve"> </w:t>
      </w:r>
      <w:r>
        <w:t xml:space="preserve">While the 2026 LSR Standard is acknowledged, specific quantification of land use and carbon removals was not possible without detailed primary data on land activities related to raw material sourcing.</w:t>
      </w:r>
    </w:p>
    <w:bookmarkEnd w:id="48"/>
    <w:bookmarkStart w:id="49" w:name="recommendations"/>
    <w:p>
      <w:pPr>
        <w:pStyle w:val="Heading3"/>
      </w:pPr>
      <w:r>
        <w:t xml:space="preserve">5.3. Recommendations</w:t>
      </w:r>
    </w:p>
    <w:p>
      <w:pPr>
        <w:pStyle w:val="FirstParagraph"/>
      </w:pPr>
      <w:r>
        <w:t xml:space="preserve">To further reduce the product carbon footprint of tsdpjwizps, jrgpddsqjr should consider the following:</w:t>
      </w:r>
    </w:p>
    <w:p>
      <w:pPr>
        <w:numPr>
          <w:ilvl w:val="0"/>
          <w:numId w:val="1020"/>
        </w:numPr>
        <w:pStyle w:val="Compact"/>
      </w:pPr>
      <w:r>
        <w:rPr>
          <w:bCs/>
          <w:b/>
        </w:rPr>
        <w:t xml:space="preserve">Decarbonize Manufacturing:</w:t>
      </w:r>
      <w:r>
        <w:t xml:space="preserve"> </w:t>
      </w:r>
      <w:r>
        <w:t xml:space="preserve">Explore options for increasing renewable energy procurement beyond `pdzjrijggy` for manufacturing operations in China, or invest in on-site renewable energy generation. Implement energy efficiency measures to reduce `dwvldshnfk`.</w:t>
      </w:r>
    </w:p>
    <w:p>
      <w:pPr>
        <w:numPr>
          <w:ilvl w:val="0"/>
          <w:numId w:val="1020"/>
        </w:numPr>
        <w:pStyle w:val="Compact"/>
      </w:pPr>
      <w:r>
        <w:rPr>
          <w:bCs/>
          <w:b/>
        </w:rPr>
        <w:t xml:space="preserve">Optimize Product Use Phase:</w:t>
      </w:r>
      <w:r>
        <w:t xml:space="preserve"> </w:t>
      </w:r>
      <w:r>
        <w:t xml:space="preserve">Redesign tsdpjwizps for greater energy efficiency to reduce `inekeuhkgi`. Educate consumers on sustainable use practices and encourage the use of renewable energy sources in their own contexts.</w:t>
      </w:r>
    </w:p>
    <w:p>
      <w:pPr>
        <w:numPr>
          <w:ilvl w:val="0"/>
          <w:numId w:val="1020"/>
        </w:numPr>
        <w:pStyle w:val="Compact"/>
      </w:pPr>
      <w:r>
        <w:rPr>
          <w:bCs/>
          <w:b/>
        </w:rPr>
        <w:t xml:space="preserve">Sustainable Material Sourcing:</w:t>
      </w:r>
      <w:r>
        <w:t xml:space="preserve"> </w:t>
      </w:r>
      <w:r>
        <w:t xml:space="preserve">Investigate alternative materials with lower embodied carbon footprints for components like the Steel Frame and Plastic Casing. Increase the percentage of recycled content in materials, where feasible.</w:t>
      </w:r>
    </w:p>
    <w:p>
      <w:pPr>
        <w:numPr>
          <w:ilvl w:val="0"/>
          <w:numId w:val="1020"/>
        </w:numPr>
        <w:pStyle w:val="Compact"/>
      </w:pPr>
      <w:r>
        <w:rPr>
          <w:bCs/>
          <w:b/>
        </w:rPr>
        <w:t xml:space="preserve">Logistics Optimization:</w:t>
      </w:r>
      <w:r>
        <w:t xml:space="preserve"> </w:t>
      </w:r>
      <w:r>
        <w:t xml:space="preserve">Work with logistics partners to explore lower-emission transport modes for main transport, such as rail or sea freight where practicable for longer distances. For last-mile delivery, incentivize or switch to electric or low-emission delivery fleets.</w:t>
      </w:r>
    </w:p>
    <w:p>
      <w:pPr>
        <w:numPr>
          <w:ilvl w:val="0"/>
          <w:numId w:val="1020"/>
        </w:numPr>
        <w:pStyle w:val="Compact"/>
      </w:pPr>
      <w:r>
        <w:rPr>
          <w:bCs/>
          <w:b/>
        </w:rPr>
        <w:t xml:space="preserve">Enhance Circularity:</w:t>
      </w:r>
      <w:r>
        <w:t xml:space="preserve"> </w:t>
      </w:r>
      <w:r>
        <w:t xml:space="preserve">Leverage existing `ofqungjpln` programs and expand initiatives to maximize the `siqgpnvhqg` of tsdpjwizps. This includes exploring design-for-disassembly, repairability, and effective take-back schemes.</w:t>
      </w:r>
    </w:p>
    <w:p>
      <w:pPr>
        <w:pStyle w:val="FirstParagraph"/>
      </w:pPr>
      <w:r>
        <w:t xml:space="preserve">This report provides a foundational understanding of tsdpjwizps\'s carbon footprint. Continuous monitoring, collection of more granular primary data, and periodic reassessment are crucial for tracking progress and achieving long-term sustainability goals.</w:t>
      </w:r>
    </w:p>
    <w:bookmarkEnd w:id="49"/>
    <w:bookmarkEnd w:id="50"/>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tsdpjwizps</dc:title>
  <dc:creator/>
  <dc:description>A high-detail Product Carbon Footprint (PCF) analysis for tsdpjwizps by jrgpddsqjr, conducted by dltreeizeq, Senior Sustainability Consultant, adhering to GHG Protocol and 2026 LSR update.</dc:description>
  <dc:language>en</dc:language>
  <cp:keywords/>
  <dcterms:created xsi:type="dcterms:W3CDTF">2026-05-30T12:39:56Z</dcterms:created>
  <dcterms:modified xsi:type="dcterms:W3CDTF">2026-05-30T12:39:56Z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