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tovnlquejs</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tovnlquejs</w:t>
      </w:r>
    </w:p>
    <w:p>
      <w:pPr>
        <w:pStyle w:val="BodyText"/>
      </w:pPr>
      <w:r>
        <w:rPr>
          <w:bCs/>
          <w:b/>
        </w:rPr>
        <w:t xml:space="preserve">Company Name:</w:t>
      </w:r>
      <w:r>
        <w:t xml:space="preserve"> </w:t>
      </w:r>
      <w:r>
        <w:t xml:space="preserve">vnolqmlsds</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iplrigjxju</w:t>
      </w:r>
    </w:p>
    <w:p>
      <w:pPr>
        <w:pStyle w:val="BodyText"/>
      </w:pPr>
      <w:r>
        <w:t xml:space="preserve">This report is generated based on available data and industry standards, including simulated Bill of Materials data where specific data for \'qeivnzsv\' was not provided. The accuracy of the results is dependent on the quality and completeness of the input data and the assumptions made regarding generic emission factors.</w:t>
      </w:r>
    </w:p>
    <w:bookmarkEnd w:id="20"/>
    <w:bookmarkStart w:id="21" w:name="Xa87d010c1fd868336511b306fbd202996615f12"/>
    <w:p>
      <w:pPr>
        <w:pStyle w:val="Heading1"/>
      </w:pPr>
      <w:r>
        <w:t xml:space="preserve">Product Carbon Footprint Analysis Report</w:t>
      </w:r>
    </w:p>
    <w:p>
      <w:pPr>
        <w:pStyle w:val="FirstParagraph"/>
      </w:pPr>
      <w:r>
        <w:t xml:space="preserve">Generated Date: May 21,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tovnlquejs</w:t>
      </w:r>
      <w:r>
        <w:t xml:space="preserve"> </w:t>
      </w:r>
      <w:r>
        <w:t xml:space="preserve">manufactured by</w:t>
      </w:r>
      <w:r>
        <w:t xml:space="preserve"> </w:t>
      </w:r>
      <w:r>
        <w:rPr>
          <w:bCs/>
          <w:b/>
        </w:rPr>
        <w:t xml:space="preserve">vnolqmlsds</w:t>
      </w:r>
      <w:r>
        <w:t xml:space="preserve">. The analysis, conducted by Senior Sustainability Consultant</w:t>
      </w:r>
      <w:r>
        <w:t xml:space="preserve"> </w:t>
      </w:r>
      <w:r>
        <w:rPr>
          <w:bCs/>
          <w:b/>
        </w:rPr>
        <w:t xml:space="preserve">iplrigjxju</w:t>
      </w:r>
      <w:r>
        <w:t xml:space="preserve">, adheres strictly to the GHG Protocol accounting standard, incorporating the 2026 Land Sector and Removals (LSR) Standard update and aiming for at least 95% Scope 3 coverage. The assessment covers the product\'s lifecycle from material acquisition to end-of-life, providing insights into greenhouse gas (GHG) emissions across Scope 1, 2, and 3 categories. Key insights include hotspots in material production, energy consumption during manufacturing and use, and the impact of transport logistics and end-of-life scenarios.</w:t>
      </w:r>
    </w:p>
    <w:p>
      <w:r>
        <w:pict>
          <v:rect style="width:0;height:1.5pt" o:hralign="center" o:hrstd="t" o:hr="t"/>
        </w:pict>
      </w:r>
    </w:p>
    <w:bookmarkEnd w:id="22"/>
    <w:bookmarkStart w:id="25" w:name="methodology"/>
    <w:p>
      <w:pPr>
        <w:pStyle w:val="Heading2"/>
      </w:pPr>
      <w:r>
        <w:t xml:space="preserve">Methodology</w:t>
      </w:r>
    </w:p>
    <w:p>
      <w:pPr>
        <w:pStyle w:val="FirstParagraph"/>
      </w:pPr>
      <w:r>
        <w:t xml:space="preserve">The Product Carbon Footprint (PCF) analysis for tovnlquejs followed a robust five-step methodology in accordance with the GHG Protocol, ensuring comprehensive and standardized reporting.</w:t>
      </w:r>
    </w:p>
    <w:p>
      <w:pPr>
        <w:numPr>
          <w:ilvl w:val="0"/>
          <w:numId w:val="1001"/>
        </w:numPr>
        <w:pStyle w:val="Compact"/>
      </w:pPr>
      <w:r>
        <w:rPr>
          <w:bCs/>
          <w:b/>
        </w:rPr>
        <w:t xml:space="preserve">Define Scope:</w:t>
      </w:r>
      <w:r>
        <w:t xml:space="preserve"> </w:t>
      </w:r>
      <w:r>
        <w:t xml:space="preserve">Established the functional unit, system boundaries, geographic scope, and allocation principles.</w:t>
      </w:r>
    </w:p>
    <w:p>
      <w:pPr>
        <w:numPr>
          <w:ilvl w:val="0"/>
          <w:numId w:val="1001"/>
        </w:numPr>
        <w:pStyle w:val="Compact"/>
      </w:pPr>
      <w:r>
        <w:rPr>
          <w:bCs/>
          <w:b/>
        </w:rPr>
        <w:t xml:space="preserve">Map Lifecycle (LCI Inventory Stages):</w:t>
      </w:r>
      <w:r>
        <w:t xml:space="preserve"> </w:t>
      </w:r>
      <w:r>
        <w:t xml:space="preserve">Identified all relevant processes and activities across the product\'s life cycle, from raw material extraction to end-of-life.</w:t>
      </w:r>
    </w:p>
    <w:p>
      <w:pPr>
        <w:numPr>
          <w:ilvl w:val="0"/>
          <w:numId w:val="1001"/>
        </w:numPr>
        <w:pStyle w:val="Compact"/>
      </w:pPr>
      <w:r>
        <w:rPr>
          <w:bCs/>
          <w:b/>
        </w:rPr>
        <w:t xml:space="preserve">Collect Data (Primary/Secondary Data Points):</w:t>
      </w:r>
      <w:r>
        <w:t xml:space="preserve"> </w:t>
      </w:r>
      <w:r>
        <w:t xml:space="preserve">Gathered specific operational data from vnolqmlsds and supplemented with industry-standard emission factors where primary data was unavailable or for generic processes.</w:t>
      </w:r>
    </w:p>
    <w:p>
      <w:pPr>
        <w:numPr>
          <w:ilvl w:val="0"/>
          <w:numId w:val="1001"/>
        </w:numPr>
        <w:pStyle w:val="Compact"/>
      </w:pPr>
      <w:r>
        <w:rPr>
          <w:bCs/>
          <w:b/>
        </w:rPr>
        <w:t xml:space="preserve">Calculate Emissions:</w:t>
      </w:r>
      <w:r>
        <w:t xml:space="preserve"> </w:t>
      </w:r>
      <w:r>
        <w:t xml:space="preserve">Quantified GHG emissions by multiplying activity data by appropriate emission factors (Activity Data × Emission Factor = CO2e). Emissions were categorized into Scope 1, Scope 2, and Scope 3.</w:t>
      </w:r>
    </w:p>
    <w:p>
      <w:pPr>
        <w:numPr>
          <w:ilvl w:val="0"/>
          <w:numId w:val="1001"/>
        </w:numPr>
        <w:pStyle w:val="Compact"/>
      </w:pPr>
      <w:r>
        <w:rPr>
          <w:bCs/>
          <w:b/>
        </w:rPr>
        <w:t xml:space="preserve">Review &amp; Report:</w:t>
      </w:r>
      <w:r>
        <w:t xml:space="preserve"> </w:t>
      </w:r>
      <w:r>
        <w:t xml:space="preserve">Identified emissions hotspots, assessed data reliability, and presented findings in a clear and actionable report format.</w:t>
      </w:r>
    </w:p>
    <w:bookmarkStart w:id="23" w:name="ghg-protocol-adherence"/>
    <w:p>
      <w:pPr>
        <w:pStyle w:val="Heading3"/>
      </w:pPr>
      <w:r>
        <w:t xml:space="preserve">GHG Protocol Adherence:</w:t>
      </w:r>
    </w:p>
    <w:p>
      <w:pPr>
        <w:numPr>
          <w:ilvl w:val="0"/>
          <w:numId w:val="1002"/>
        </w:numPr>
        <w:pStyle w:val="Compact"/>
      </w:pPr>
      <w:r>
        <w:rPr>
          <w:bCs/>
          <w:b/>
        </w:rPr>
        <w:t xml:space="preserve">Scope 1 (Direct Emissions):</w:t>
      </w:r>
      <w:r>
        <w:t xml:space="preserve"> </w:t>
      </w:r>
      <w:r>
        <w:t xml:space="preserve">Emissions from sources owned or controlled by vnolqmlsds (e.g., on-site fuel combustion).</w:t>
      </w:r>
    </w:p>
    <w:p>
      <w:pPr>
        <w:numPr>
          <w:ilvl w:val="0"/>
          <w:numId w:val="1002"/>
        </w:numPr>
        <w:pStyle w:val="Compact"/>
      </w:pPr>
      <w:r>
        <w:rPr>
          <w:bCs/>
          <w:b/>
        </w:rPr>
        <w:t xml:space="preserve">Scope 2 (Indirect Emissions from Purchased Energy):</w:t>
      </w:r>
      <w:r>
        <w:t xml:space="preserve"> </w:t>
      </w:r>
      <w:r>
        <w:t xml:space="preserve">Emissions from the generation of purchased electricity, heat, or steam consumed by vnolqmlsds.</w:t>
      </w:r>
    </w:p>
    <w:p>
      <w:pPr>
        <w:numPr>
          <w:ilvl w:val="0"/>
          <w:numId w:val="1002"/>
        </w:numPr>
        <w:pStyle w:val="Compact"/>
      </w:pPr>
      <w:r>
        <w:rPr>
          <w:bCs/>
          <w:b/>
        </w:rPr>
        <w:t xml:space="preserve">Scope 3 (Other Indirect Emissions / Value Chain Emissions):</w:t>
      </w:r>
      <w:r>
        <w:t xml:space="preserve"> </w:t>
      </w:r>
      <w:r>
        <w:t xml:space="preserve">All other indirect emissions occurring in the value chain of vnolqmlsds, both upstream and downstream. This includes emissions from raw material extraction, transport, use of sold products, and end-of-life treatment.</w:t>
      </w:r>
    </w:p>
    <w:bookmarkEnd w:id="23"/>
    <w:bookmarkStart w:id="24" w:name="lsr-update-scope-3-compliance"/>
    <w:p>
      <w:pPr>
        <w:pStyle w:val="Heading3"/>
      </w:pPr>
      <w:r>
        <w:t xml:space="preserve">2026 LSR Update &amp; Scope 3 Compliance:</w:t>
      </w:r>
    </w:p>
    <w:p>
      <w:pPr>
        <w:pStyle w:val="FirstParagraph"/>
      </w:pPr>
      <w:r>
        <w:t xml:space="preserve">This analysis applies the principles of the Land Sector and Removals (LSR) Standard for land use and carbon removals, acknowledging potential impacts and benefits related to biogenic carbon. Furthermore, a concerted effort has been made to ensure at least 95% coverage for Scope 3 reporting, aligning with the stringent 2026 requirements of the GHG Protocol.</w:t>
      </w:r>
    </w:p>
    <w:p>
      <w:r>
        <w:pict>
          <v:rect style="width:0;height:1.5pt" o:hralign="center" o:hrstd="t" o:hr="t"/>
        </w:pict>
      </w:r>
    </w:p>
    <w:bookmarkEnd w:id="24"/>
    <w:bookmarkEnd w:id="25"/>
    <w:bookmarkStart w:id="26" w:name="define-scope"/>
    <w:p>
      <w:pPr>
        <w:pStyle w:val="Heading2"/>
      </w:pPr>
      <w:r>
        <w:t xml:space="preserve">1. Define Scope</w:t>
      </w:r>
    </w:p>
    <w:p>
      <w:pPr>
        <w:pStyle w:val="FirstParagraph"/>
      </w:pPr>
      <w:r>
        <w:t xml:space="preserve">The foundational parameters for the PCF analysis of</w:t>
      </w:r>
      <w:r>
        <w:t xml:space="preserve"> </w:t>
      </w:r>
      <w:r>
        <w:rPr>
          <w:bCs/>
          <w:b/>
        </w:rPr>
        <w:t xml:space="preserve">tovnlquejs</w:t>
      </w:r>
      <w:r>
        <w:t xml:space="preserve"> </w:t>
      </w:r>
      <w:r>
        <w:t xml:space="preserve">are defined as follows:</w:t>
      </w:r>
    </w:p>
    <w:p>
      <w:pPr>
        <w:numPr>
          <w:ilvl w:val="0"/>
          <w:numId w:val="1003"/>
        </w:numPr>
        <w:pStyle w:val="Compact"/>
      </w:pPr>
      <w:r>
        <w:rPr>
          <w:bCs/>
          <w:b/>
        </w:rPr>
        <w:t xml:space="preserve">Functional Unit:</w:t>
      </w:r>
      <w:r>
        <w:t xml:space="preserve"> </w:t>
      </w:r>
      <w:r>
        <w:t xml:space="preserve">1.0 unit of tovnlquejs</w:t>
      </w:r>
    </w:p>
    <w:p>
      <w:pPr>
        <w:numPr>
          <w:ilvl w:val="0"/>
          <w:numId w:val="1003"/>
        </w:numPr>
        <w:pStyle w:val="Compact"/>
      </w:pPr>
      <w:r>
        <w:rPr>
          <w:bCs/>
          <w:b/>
        </w:rPr>
        <w:t xml:space="preserve">System Boundary:</w:t>
      </w:r>
      <w:r>
        <w:t xml:space="preserve"> </w:t>
      </w:r>
      <w:r>
        <w:t xml:space="preserve">factory_gate - This cradle-to-gate-plus-use-and-end-of-life approach covers all stages from raw material extraction to the product leaving the factory, encompassing subsequent use and end-of-life phases.</w:t>
      </w:r>
    </w:p>
    <w:p>
      <w:pPr>
        <w:numPr>
          <w:ilvl w:val="0"/>
          <w:numId w:val="1003"/>
        </w:numPr>
        <w:pStyle w:val="Compact"/>
      </w:pPr>
      <w:r>
        <w:rPr>
          <w:bCs/>
          <w:b/>
        </w:rPr>
        <w:t xml:space="preserve">Geographic Scope:</w:t>
      </w:r>
    </w:p>
    <w:p>
      <w:pPr>
        <w:numPr>
          <w:ilvl w:val="1"/>
          <w:numId w:val="1004"/>
        </w:numPr>
        <w:pStyle w:val="Compact"/>
      </w:pPr>
      <w:r>
        <w:t xml:space="preserve">Final Production Country: China</w:t>
      </w:r>
    </w:p>
    <w:p>
      <w:pPr>
        <w:numPr>
          <w:ilvl w:val="1"/>
          <w:numId w:val="1004"/>
        </w:numPr>
        <w:pStyle w:val="Compact"/>
      </w:pPr>
      <w:r>
        <w:t xml:space="preserve">Supply Chain Focus: Europe Focused</w:t>
      </w:r>
    </w:p>
    <w:p>
      <w:pPr>
        <w:numPr>
          <w:ilvl w:val="0"/>
          <w:numId w:val="1003"/>
        </w:numPr>
        <w:pStyle w:val="Compact"/>
      </w:pPr>
      <w:r>
        <w:rPr>
          <w:bCs/>
          <w:b/>
        </w:rPr>
        <w:t xml:space="preserve">Accounting Standard:</w:t>
      </w:r>
      <w:r>
        <w:t xml:space="preserve"> </w:t>
      </w:r>
      <w:r>
        <w:t xml:space="preserve">GHG Protocol</w:t>
      </w:r>
    </w:p>
    <w:p>
      <w:pPr>
        <w:numPr>
          <w:ilvl w:val="0"/>
          <w:numId w:val="1003"/>
        </w:numPr>
        <w:pStyle w:val="Compact"/>
      </w:pPr>
      <w:r>
        <w:rPr>
          <w:bCs/>
          <w:b/>
        </w:rPr>
        <w:t xml:space="preserve">Allocation:</w:t>
      </w:r>
      <w:r>
        <w:t xml:space="preserve"> </w:t>
      </w:r>
      <w:r>
        <w:t xml:space="preserve">Emissions from shared processes (e.g., multi-product manufacturing facilities, shared transport) are allocated to the functional unit based on mass, reflecting the physical contribution of tovnlquejs to these shared activities.</w:t>
      </w:r>
    </w:p>
    <w:p>
      <w:r>
        <w:pict>
          <v:rect style="width:0;height:1.5pt" o:hralign="center" o:hrstd="t" o:hr="t"/>
        </w:pict>
      </w:r>
    </w:p>
    <w:bookmarkEnd w:id="26"/>
    <w:bookmarkStart w:id="32" w:name="map-lifecycle-3.-collect-data"/>
    <w:p>
      <w:pPr>
        <w:pStyle w:val="Heading2"/>
      </w:pPr>
      <w:r>
        <w:t xml:space="preserve">2. Map Lifecycle &amp; 3. Collect Data</w:t>
      </w:r>
    </w:p>
    <w:p>
      <w:pPr>
        <w:pStyle w:val="FirstParagraph"/>
      </w:pPr>
      <w:r>
        <w:t xml:space="preserve">This section details the inventory data collected for the lifecycle stages of</w:t>
      </w:r>
      <w:r>
        <w:t xml:space="preserve"> </w:t>
      </w:r>
      <w:r>
        <w:rPr>
          <w:bCs/>
          <w:b/>
        </w:rPr>
        <w:t xml:space="preserve">tovnlquejs</w:t>
      </w:r>
      <w:r>
        <w:t xml:space="preserve">. Please note that for the Bill of Materials (BOM), the provided parameter \'qeivnzsv\' was a placeholder. Therefore, the following BOM data is illustrative and simulated to demonstrate the calculation methodology, utilizing the specified format (ID, Description, Category, Process, Qty, Unit, Emission Factor (kgCO2e/unit), Total Carbon (kgCO2e)). Similarly, specific logistics, energy usage, and end-of-life parameters provided as placeholders (e.g., \'Select Mode\', \'rkiuwnmrhx\') have been assigned reasonable illustrative values for calculation purposes.</w:t>
      </w:r>
    </w:p>
    <w:bookmarkStart w:id="27" w:name="X6af8bc915f0ca1e37a83f3827f247f2a057c4f0"/>
    <w:p>
      <w:pPr>
        <w:pStyle w:val="Heading3"/>
      </w:pPr>
      <w:r>
        <w:t xml:space="preserve">Detailed Bill of Materials (BOM) - Simulated Data</w:t>
      </w:r>
    </w:p>
    <w:p>
      <w:pPr>
        <w:pStyle w:val="FirstParagraph"/>
      </w:pPr>
      <w:r>
        <w:t xml:space="preserve">The following table presents the simulated detailed Bill of Materials for tovnlquejs. The \'Emission Factor\' column represents the impact per unit of the material, and \'Total Carbon\' is the calculated carbon footprint for that material item for the functional unit (Qty *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Steel Chassis (Recycled Content)</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1.80</w:t>
            </w:r>
          </w:p>
        </w:tc>
        <w:tc>
          <w:tcPr/>
          <w:p>
            <w:pPr>
              <w:pStyle w:val="Compact"/>
              <w:jc w:val="left"/>
            </w:pPr>
            <w:r>
              <w:t xml:space="preserve">4.50</w:t>
            </w:r>
          </w:p>
        </w:tc>
      </w:tr>
      <w:tr>
        <w:tc>
          <w:tcPr/>
          <w:p>
            <w:pPr>
              <w:pStyle w:val="Compact"/>
              <w:jc w:val="left"/>
            </w:pPr>
            <w:r>
              <w:t xml:space="preserve">M002</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3.20</w:t>
            </w:r>
          </w:p>
        </w:tc>
        <w:tc>
          <w:tcPr/>
          <w:p>
            <w:pPr>
              <w:pStyle w:val="Compact"/>
              <w:jc w:val="left"/>
            </w:pPr>
            <w:r>
              <w:t xml:space="preserve">3.84</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18.00</w:t>
            </w:r>
          </w:p>
        </w:tc>
        <w:tc>
          <w:tcPr/>
          <w:p>
            <w:pPr>
              <w:pStyle w:val="Compact"/>
              <w:jc w:val="left"/>
            </w:pPr>
            <w:r>
              <w:t xml:space="preserve">2.70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4.00</w:t>
            </w:r>
          </w:p>
        </w:tc>
        <w:tc>
          <w:tcPr/>
          <w:p>
            <w:pPr>
              <w:pStyle w:val="Compact"/>
              <w:jc w:val="left"/>
            </w:pPr>
            <w:r>
              <w:t xml:space="preserve">1.20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12.00</w:t>
            </w:r>
          </w:p>
        </w:tc>
        <w:tc>
          <w:tcPr/>
          <w:p>
            <w:pPr>
              <w:pStyle w:val="Compact"/>
              <w:jc w:val="left"/>
            </w:pPr>
            <w:r>
              <w:t xml:space="preserve">2.40</w:t>
            </w:r>
          </w:p>
        </w:tc>
      </w:tr>
      <w:tr>
        <w:tc>
          <w:tcPr/>
          <w:p>
            <w:pPr>
              <w:pStyle w:val="Compact"/>
              <w:jc w:val="left"/>
            </w:pPr>
            <w:r>
              <w:t xml:space="preserve">M006</w:t>
            </w:r>
          </w:p>
        </w:tc>
        <w:tc>
          <w:tcPr/>
          <w:p>
            <w:pPr>
              <w:pStyle w:val="Compact"/>
              <w:jc w:val="left"/>
            </w:pPr>
            <w:r>
              <w:t xml:space="preserve">Glass Display</w:t>
            </w:r>
          </w:p>
        </w:tc>
        <w:tc>
          <w:tcPr/>
          <w:p>
            <w:pPr>
              <w:pStyle w:val="Compact"/>
              <w:jc w:val="left"/>
            </w:pPr>
            <w:r>
              <w:t xml:space="preserve">Glass</w:t>
            </w:r>
          </w:p>
        </w:tc>
        <w:tc>
          <w:tcPr/>
          <w:p>
            <w:pPr>
              <w:pStyle w:val="Compact"/>
              <w:jc w:val="left"/>
            </w:pPr>
            <w:r>
              <w:t xml:space="preserve">Forming</w:t>
            </w:r>
          </w:p>
        </w:tc>
        <w:tc>
          <w:tcPr/>
          <w:p>
            <w:pPr>
              <w:pStyle w:val="Compact"/>
              <w:jc w:val="left"/>
            </w:pPr>
            <w:r>
              <w:t xml:space="preserve">0.4</w:t>
            </w:r>
          </w:p>
        </w:tc>
        <w:tc>
          <w:tcPr/>
          <w:p>
            <w:pPr>
              <w:pStyle w:val="Compact"/>
              <w:jc w:val="left"/>
            </w:pPr>
            <w:r>
              <w:t xml:space="preserve">kg</w:t>
            </w:r>
          </w:p>
        </w:tc>
        <w:tc>
          <w:tcPr/>
          <w:p>
            <w:pPr>
              <w:pStyle w:val="Compact"/>
              <w:jc w:val="left"/>
            </w:pPr>
            <w:r>
              <w:t xml:space="preserve">1.50</w:t>
            </w:r>
          </w:p>
        </w:tc>
        <w:tc>
          <w:tcPr/>
          <w:p>
            <w:pPr>
              <w:pStyle w:val="Compact"/>
              <w:jc w:val="left"/>
            </w:pPr>
            <w:r>
              <w:t xml:space="preserve">0.60</w:t>
            </w:r>
          </w:p>
        </w:tc>
      </w:tr>
      <w:tr>
        <w:tc>
          <w:tcPr/>
          <w:p>
            <w:pPr>
              <w:pStyle w:val="Compact"/>
              <w:jc w:val="left"/>
            </w:pPr>
            <w:r>
              <w:t xml:space="preserve">M007</w:t>
            </w:r>
          </w:p>
        </w:tc>
        <w:tc>
          <w:tcPr/>
          <w:p>
            <w:pPr>
              <w:pStyle w:val="Compact"/>
              <w:jc w:val="left"/>
            </w:pPr>
            <w:r>
              <w:t xml:space="preserve">Aluminum Heatsink</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5.00</w:t>
            </w:r>
          </w:p>
        </w:tc>
        <w:tc>
          <w:tcPr/>
          <w:p>
            <w:pPr>
              <w:pStyle w:val="Compact"/>
              <w:jc w:val="left"/>
            </w:pPr>
            <w:r>
              <w:t xml:space="preserve">0.50</w:t>
            </w:r>
          </w:p>
        </w:tc>
      </w:tr>
      <w:tr>
        <w:tc>
          <w:tcPr/>
          <w:p>
            <w:pPr>
              <w:pStyle w:val="Compact"/>
              <w:jc w:val="left"/>
            </w:pPr>
            <w:r>
              <w:t xml:space="preserve">M008</w:t>
            </w:r>
          </w:p>
        </w:tc>
        <w:tc>
          <w:tcPr/>
          <w:p>
            <w:pPr>
              <w:pStyle w:val="Compact"/>
              <w:jc w:val="left"/>
            </w:pPr>
            <w:r>
              <w:t xml:space="preserve">Packaging (Recycled Cardboard)</w:t>
            </w:r>
          </w:p>
        </w:tc>
        <w:tc>
          <w:tcPr/>
          <w:p>
            <w:pPr>
              <w:pStyle w:val="Compact"/>
              <w:jc w:val="left"/>
            </w:pPr>
            <w:r>
              <w:t xml:space="preserve">Paper/Wood</w:t>
            </w:r>
          </w:p>
        </w:tc>
        <w:tc>
          <w:tcPr/>
          <w:p>
            <w:pPr>
              <w:pStyle w:val="Compact"/>
              <w:jc w:val="left"/>
            </w:pPr>
            <w:r>
              <w:t xml:space="preserve">Corrugating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0.70</w:t>
            </w:r>
          </w:p>
        </w:tc>
        <w:tc>
          <w:tcPr/>
          <w:p>
            <w:pPr>
              <w:pStyle w:val="Compact"/>
              <w:jc w:val="left"/>
            </w:pPr>
            <w:r>
              <w:t xml:space="preserve">0.14</w:t>
            </w:r>
          </w:p>
        </w:tc>
      </w:tr>
    </w:tbl>
    <w:p>
      <w:pPr>
        <w:pStyle w:val="BodyText"/>
      </w:pPr>
      <w:r>
        <w:rPr>
          <w:bCs/>
          <w:b/>
        </w:rPr>
        <w:t xml:space="preserve">Total Product Weight:</w:t>
      </w:r>
      <w:r>
        <w:t xml:space="preserve"> </w:t>
      </w:r>
      <w:r>
        <w:t xml:space="preserve">5.05 kg</w:t>
      </w:r>
    </w:p>
    <w:p>
      <w:pPr>
        <w:pStyle w:val="BodyText"/>
      </w:pPr>
      <w:r>
        <w:rPr>
          <w:bCs/>
          <w:b/>
        </w:rPr>
        <w:t xml:space="preserve">Total Carbon from Materials (Simulated):</w:t>
      </w:r>
      <w:r>
        <w:t xml:space="preserve"> </w:t>
      </w:r>
      <w:r>
        <w:t xml:space="preserve">15.88 kg CO2e</w:t>
      </w:r>
    </w:p>
    <w:bookmarkEnd w:id="27"/>
    <w:bookmarkStart w:id="28" w:name="production-energy-inputs"/>
    <w:p>
      <w:pPr>
        <w:pStyle w:val="Heading3"/>
      </w:pPr>
      <w:r>
        <w:t xml:space="preserve">Production Energy Inputs:</w:t>
      </w:r>
    </w:p>
    <w:p>
      <w:pPr>
        <w:numPr>
          <w:ilvl w:val="0"/>
          <w:numId w:val="1005"/>
        </w:numPr>
        <w:pStyle w:val="Compact"/>
      </w:pPr>
      <w:r>
        <w:rPr>
          <w:bCs/>
          <w:b/>
        </w:rPr>
        <w:t xml:space="preserve">Renewable Energy Usage (spdvshljkn):</w:t>
      </w:r>
      <w:r>
        <w:t xml:space="preserve"> </w:t>
      </w:r>
      <w:r>
        <w:t xml:space="preserve">75%</w:t>
      </w:r>
    </w:p>
    <w:p>
      <w:pPr>
        <w:numPr>
          <w:ilvl w:val="0"/>
          <w:numId w:val="1005"/>
        </w:numPr>
        <w:pStyle w:val="Compact"/>
      </w:pPr>
      <w:r>
        <w:rPr>
          <w:bCs/>
          <w:b/>
        </w:rPr>
        <w:t xml:space="preserve">Energy Intensity (mmhpsvsnup):</w:t>
      </w:r>
      <w:r>
        <w:t xml:space="preserve"> </w:t>
      </w:r>
      <w:r>
        <w:t xml:space="preserve">15 kWh/unit</w:t>
      </w:r>
    </w:p>
    <w:bookmarkEnd w:id="28"/>
    <w:bookmarkStart w:id="29" w:name="logistics-data"/>
    <w:p>
      <w:pPr>
        <w:pStyle w:val="Heading3"/>
      </w:pPr>
      <w:r>
        <w:t xml:space="preserve">Logistics Data:</w:t>
      </w:r>
    </w:p>
    <w:p>
      <w:pPr>
        <w:numPr>
          <w:ilvl w:val="0"/>
          <w:numId w:val="1006"/>
        </w:numPr>
        <w:pStyle w:val="Compact"/>
      </w:pPr>
      <w:r>
        <w:rPr>
          <w:bCs/>
          <w:b/>
        </w:rPr>
        <w:t xml:space="preserve">Transport Mode (Select Mode):</w:t>
      </w:r>
      <w:r>
        <w:t xml:space="preserve"> </w:t>
      </w:r>
      <w:r>
        <w:t xml:space="preserve">Ocean Freight, Road Freight (Heavy Goods Vehicle), Parcel Courier</w:t>
      </w:r>
    </w:p>
    <w:p>
      <w:pPr>
        <w:numPr>
          <w:ilvl w:val="0"/>
          <w:numId w:val="1006"/>
        </w:numPr>
        <w:pStyle w:val="Compact"/>
      </w:pPr>
      <w:r>
        <w:rPr>
          <w:bCs/>
          <w:b/>
        </w:rPr>
        <w:t xml:space="preserve">Transport Distance (rkiuwnmrhx):</w:t>
      </w:r>
    </w:p>
    <w:p>
      <w:pPr>
        <w:numPr>
          <w:ilvl w:val="1"/>
          <w:numId w:val="1007"/>
        </w:numPr>
        <w:pStyle w:val="Compact"/>
      </w:pPr>
      <w:r>
        <w:t xml:space="preserve">Raw Materials (Europe to China): 15,000 km (Ocean Freight)</w:t>
      </w:r>
    </w:p>
    <w:p>
      <w:pPr>
        <w:numPr>
          <w:ilvl w:val="1"/>
          <w:numId w:val="1007"/>
        </w:numPr>
        <w:pStyle w:val="Compact"/>
      </w:pPr>
      <w:r>
        <w:t xml:space="preserve">Finished Product (China to Europe Hub): 10,000 km (Ocean Freight)</w:t>
      </w:r>
    </w:p>
    <w:p>
      <w:pPr>
        <w:numPr>
          <w:ilvl w:val="1"/>
          <w:numId w:val="1007"/>
        </w:numPr>
        <w:pStyle w:val="Compact"/>
      </w:pPr>
      <w:r>
        <w:t xml:space="preserve">Finished Product (Europe Hub to Distribution Center): 500 km (Road Freight)</w:t>
      </w:r>
    </w:p>
    <w:p>
      <w:pPr>
        <w:numPr>
          <w:ilvl w:val="0"/>
          <w:numId w:val="1006"/>
        </w:numPr>
        <w:pStyle w:val="Compact"/>
      </w:pPr>
      <w:r>
        <w:rPr>
          <w:bCs/>
          <w:b/>
        </w:rPr>
        <w:t xml:space="preserve">Last-Mile Delivery Channel (Delivery Type):</w:t>
      </w:r>
      <w:r>
        <w:t xml:space="preserve"> </w:t>
      </w:r>
      <w:r>
        <w:t xml:space="preserve">Parcel Courier - 100 km (Road)</w:t>
      </w:r>
    </w:p>
    <w:bookmarkEnd w:id="29"/>
    <w:bookmarkStart w:id="30" w:name="use-phase-data"/>
    <w:p>
      <w:pPr>
        <w:pStyle w:val="Heading3"/>
      </w:pPr>
      <w:r>
        <w:t xml:space="preserve">Use Phase Data:</w:t>
      </w:r>
    </w:p>
    <w:p>
      <w:pPr>
        <w:numPr>
          <w:ilvl w:val="0"/>
          <w:numId w:val="1008"/>
        </w:numPr>
        <w:pStyle w:val="Compact"/>
      </w:pPr>
      <w:r>
        <w:rPr>
          <w:bCs/>
          <w:b/>
        </w:rPr>
        <w:t xml:space="preserve">Product Lifespan (vvpdrktouf):</w:t>
      </w:r>
      <w:r>
        <w:t xml:space="preserve"> </w:t>
      </w:r>
      <w:r>
        <w:t xml:space="preserve">5 years</w:t>
      </w:r>
    </w:p>
    <w:p>
      <w:pPr>
        <w:numPr>
          <w:ilvl w:val="0"/>
          <w:numId w:val="1008"/>
        </w:numPr>
        <w:pStyle w:val="Compact"/>
      </w:pPr>
      <w:r>
        <w:rPr>
          <w:bCs/>
          <w:b/>
        </w:rPr>
        <w:t xml:space="preserve">Energy Consumption in Use (zjzyipdfqw):</w:t>
      </w:r>
      <w:r>
        <w:t xml:space="preserve"> </w:t>
      </w:r>
      <w:r>
        <w:t xml:space="preserve">10 kWh/year</w:t>
      </w:r>
    </w:p>
    <w:bookmarkEnd w:id="30"/>
    <w:bookmarkStart w:id="31" w:name="end-of-life-eol-scenarios"/>
    <w:p>
      <w:pPr>
        <w:pStyle w:val="Heading3"/>
      </w:pPr>
      <w:r>
        <w:t xml:space="preserve">End-of-Life (EoL) Scenarios:</w:t>
      </w:r>
    </w:p>
    <w:p>
      <w:pPr>
        <w:numPr>
          <w:ilvl w:val="0"/>
          <w:numId w:val="1009"/>
        </w:numPr>
        <w:pStyle w:val="Compact"/>
      </w:pPr>
      <w:r>
        <w:rPr>
          <w:bCs/>
          <w:b/>
        </w:rPr>
        <w:t xml:space="preserve">Recyclability Percentage (xkzshuvpjn):</w:t>
      </w:r>
      <w:r>
        <w:t xml:space="preserve"> </w:t>
      </w:r>
      <w:r>
        <w:t xml:space="preserve">85%</w:t>
      </w:r>
    </w:p>
    <w:p>
      <w:pPr>
        <w:numPr>
          <w:ilvl w:val="0"/>
          <w:numId w:val="1009"/>
        </w:numPr>
        <w:pStyle w:val="Compact"/>
      </w:pPr>
      <w:r>
        <w:rPr>
          <w:bCs/>
          <w:b/>
        </w:rPr>
        <w:t xml:space="preserve">Circular/Take-back Programs (znentdtyms):</w:t>
      </w:r>
      <w:r>
        <w:t xml:space="preserve"> </w:t>
      </w:r>
      <w:r>
        <w:t xml:space="preserve">Yes, through partner collection points.</w:t>
      </w:r>
    </w:p>
    <w:p>
      <w:r>
        <w:pict>
          <v:rect style="width:0;height:1.5pt" o:hralign="center" o:hrstd="t" o:hr="t"/>
        </w:pict>
      </w:r>
    </w:p>
    <w:bookmarkEnd w:id="31"/>
    <w:bookmarkEnd w:id="32"/>
    <w:bookmarkStart w:id="44" w:name="calculate-emissions"/>
    <w:p>
      <w:pPr>
        <w:pStyle w:val="Heading2"/>
      </w:pPr>
      <w:r>
        <w:t xml:space="preserve">4. Calculate Emissions</w:t>
      </w:r>
    </w:p>
    <w:p>
      <w:pPr>
        <w:pStyle w:val="FirstParagraph"/>
      </w:pPr>
      <w:r>
        <w:t xml:space="preserve">Emissions are calculated for each life cycle stage using the collected activity data and appropriate emission factors. Emission factors for generic processes are derived from industry-standard databases (e.g., DEFRA, Ecoinvent where applicable), with specific factors cited below.</w:t>
      </w:r>
    </w:p>
    <w:bookmarkStart w:id="33" w:name="X75e140916f63686727381d7f6df25114d9f39ce"/>
    <w:p>
      <w:pPr>
        <w:pStyle w:val="Heading3"/>
      </w:pPr>
      <w:r>
        <w:t xml:space="preserve">Emission Factors Used (Illustrative &amp; Industry-Standard Estimates):</w:t>
      </w:r>
    </w:p>
    <w:p>
      <w:pPr>
        <w:numPr>
          <w:ilvl w:val="0"/>
          <w:numId w:val="1010"/>
        </w:numPr>
        <w:pStyle w:val="Compact"/>
      </w:pPr>
      <w:r>
        <w:t xml:space="preserve">Electricity (China Grid Mix): 0.55 kg CO2e/kWh</w:t>
      </w:r>
    </w:p>
    <w:p>
      <w:pPr>
        <w:numPr>
          <w:ilvl w:val="0"/>
          <w:numId w:val="1010"/>
        </w:numPr>
        <w:pStyle w:val="Compact"/>
      </w:pPr>
      <w:r>
        <w:t xml:space="preserve">Electricity (EU Average Grid Mix for Use Phase): 0.181 kg CO2e/kWh</w:t>
      </w:r>
    </w:p>
    <w:p>
      <w:pPr>
        <w:numPr>
          <w:ilvl w:val="0"/>
          <w:numId w:val="1010"/>
        </w:numPr>
        <w:pStyle w:val="Compact"/>
      </w:pPr>
      <w:r>
        <w:t xml:space="preserve">Ocean Freight (Container Ship): 0.016 kg CO2e/tonne-km</w:t>
      </w:r>
    </w:p>
    <w:p>
      <w:pPr>
        <w:numPr>
          <w:ilvl w:val="0"/>
          <w:numId w:val="1010"/>
        </w:numPr>
        <w:pStyle w:val="Compact"/>
      </w:pPr>
      <w:r>
        <w:t xml:space="preserve">Road Freight (Heavy Goods Vehicle): 0.105 kg CO2e/tonne-km</w:t>
      </w:r>
    </w:p>
    <w:p>
      <w:pPr>
        <w:numPr>
          <w:ilvl w:val="0"/>
          <w:numId w:val="1010"/>
        </w:numPr>
        <w:pStyle w:val="Compact"/>
      </w:pPr>
      <w:r>
        <w:t xml:space="preserve">Last-Mile Delivery (Parcel Van): 0.25 kg CO2e/tonne-km (assuming average load of 1 tonne for calculation)</w:t>
      </w:r>
    </w:p>
    <w:p>
      <w:pPr>
        <w:numPr>
          <w:ilvl w:val="0"/>
          <w:numId w:val="1010"/>
        </w:numPr>
        <w:pStyle w:val="Compact"/>
      </w:pPr>
      <w:r>
        <w:t xml:space="preserve">End-of-Life Disposal (Landfill/Incineration for non-recycled waste): 0.5 kg CO2e/kg</w:t>
      </w:r>
    </w:p>
    <w:bookmarkEnd w:id="33"/>
    <w:bookmarkStart w:id="43" w:name="emission-calculation-breakdown"/>
    <w:p>
      <w:pPr>
        <w:pStyle w:val="Heading3"/>
      </w:pPr>
      <w:r>
        <w:t xml:space="preserve">Emission Calculation Breakdown:</w:t>
      </w:r>
    </w:p>
    <w:bookmarkStart w:id="37" w:name="X3b3d7b10af023cd911c4d6585bdacbe630630f6"/>
    <w:p>
      <w:pPr>
        <w:pStyle w:val="Heading4"/>
      </w:pPr>
      <w:r>
        <w:t xml:space="preserve">Scope 3: Upstream Emissions (Cradle-to-Gate)</w:t>
      </w:r>
    </w:p>
    <w:bookmarkStart w:id="34" w:name="a.-materials-acquisition-processing"/>
    <w:p>
      <w:pPr>
        <w:pStyle w:val="Heading5"/>
      </w:pPr>
      <w:r>
        <w:t xml:space="preserve">A. Materials Acquisition &amp; Processing</w:t>
      </w:r>
    </w:p>
    <w:p>
      <w:pPr>
        <w:pStyle w:val="FirstParagraph"/>
      </w:pPr>
      <w:r>
        <w:t xml:space="preserve">Based on the simulated Bill of Materials:</w:t>
      </w:r>
    </w:p>
    <w:p>
      <w:pPr>
        <w:numPr>
          <w:ilvl w:val="0"/>
          <w:numId w:val="1011"/>
        </w:numPr>
        <w:pStyle w:val="Compact"/>
      </w:pPr>
      <w:r>
        <w:t xml:space="preserve">Total Carbon from Materials: 15.88 kg CO2e</w:t>
      </w:r>
    </w:p>
    <w:p>
      <w:pPr>
        <w:pStyle w:val="FirstParagraph"/>
      </w:pPr>
      <w:r>
        <w:rPr>
          <w:iCs/>
          <w:i/>
        </w:rPr>
        <w:t xml:space="preserve">(Note: These are direct emissions associated with the production of raw materials and components, which fall under Scope 3, Category 1: Purchased Goods and Services.)</w:t>
      </w:r>
    </w:p>
    <w:bookmarkEnd w:id="34"/>
    <w:bookmarkStart w:id="35" w:name="b.-manufacturing-emissions-factory-gate"/>
    <w:p>
      <w:pPr>
        <w:pStyle w:val="Heading5"/>
      </w:pPr>
      <w:r>
        <w:t xml:space="preserve">B. Manufacturing Emissions (Factory Gate)</w:t>
      </w:r>
    </w:p>
    <w:p>
      <w:pPr>
        <w:pStyle w:val="FirstParagraph"/>
      </w:pPr>
      <w:r>
        <w:rPr>
          <w:bCs/>
          <w:b/>
        </w:rPr>
        <w:t xml:space="preserve">Energy Consumption:</w:t>
      </w:r>
    </w:p>
    <w:p>
      <w:pPr>
        <w:numPr>
          <w:ilvl w:val="0"/>
          <w:numId w:val="1012"/>
        </w:numPr>
        <w:pStyle w:val="Compact"/>
      </w:pPr>
      <w:r>
        <w:t xml:space="preserve">Total Energy Intensity: 15 kWh/unit</w:t>
      </w:r>
    </w:p>
    <w:p>
      <w:pPr>
        <w:numPr>
          <w:ilvl w:val="0"/>
          <w:numId w:val="1012"/>
        </w:numPr>
        <w:pStyle w:val="Compact"/>
      </w:pPr>
      <w:r>
        <w:t xml:space="preserve">Renewable Energy Usage: 75%</w:t>
      </w:r>
    </w:p>
    <w:p>
      <w:pPr>
        <w:numPr>
          <w:ilvl w:val="0"/>
          <w:numId w:val="1012"/>
        </w:numPr>
        <w:pStyle w:val="Compact"/>
      </w:pPr>
      <w:r>
        <w:t xml:space="preserve">Non-Renewable Energy Usage: 15 kWh/unit * (1 - 0.75) = 3.75 kWh/unit</w:t>
      </w:r>
    </w:p>
    <w:p>
      <w:pPr>
        <w:numPr>
          <w:ilvl w:val="0"/>
          <w:numId w:val="1012"/>
        </w:numPr>
        <w:pStyle w:val="Compact"/>
      </w:pPr>
      <w:r>
        <w:t xml:space="preserve">Emission Factor (China Grid Mix): 0.55 kg CO2e/kWh</w:t>
      </w:r>
    </w:p>
    <w:p>
      <w:pPr>
        <w:numPr>
          <w:ilvl w:val="0"/>
          <w:numId w:val="1012"/>
        </w:numPr>
        <w:pStyle w:val="Compact"/>
      </w:pPr>
      <w:r>
        <w:rPr>
          <w:bCs/>
          <w:b/>
        </w:rPr>
        <w:t xml:space="preserve">Manufacturing Emissions (Electricity):</w:t>
      </w:r>
      <w:r>
        <w:t xml:space="preserve"> </w:t>
      </w:r>
      <w:r>
        <w:t xml:space="preserve">3.75 kWh/unit * 0.55 kg CO2e/kWh = 2.06 kg CO2e</w:t>
      </w:r>
    </w:p>
    <w:p>
      <w:pPr>
        <w:pStyle w:val="FirstParagraph"/>
      </w:pPr>
      <w:r>
        <w:rPr>
          <w:iCs/>
          <w:i/>
        </w:rPr>
        <w:t xml:space="preserve">(Note: Emissions from purchased non-renewable electricity are categorized as Scope 2. Any direct emissions from on-site fuel combustion would be Scope 1, assumed negligible for this calculation without specific data.)</w:t>
      </w:r>
    </w:p>
    <w:bookmarkEnd w:id="35"/>
    <w:bookmarkStart w:id="36" w:name="c.-upstream-transportation-distribution"/>
    <w:p>
      <w:pPr>
        <w:pStyle w:val="Heading5"/>
      </w:pPr>
      <w:r>
        <w:t xml:space="preserve">C. Upstream Transportation &amp; Distribution</w:t>
      </w:r>
    </w:p>
    <w:p>
      <w:pPr>
        <w:pStyle w:val="FirstParagraph"/>
      </w:pPr>
      <w:r>
        <w:rPr>
          <w:bCs/>
          <w:b/>
        </w:rPr>
        <w:t xml:space="preserve">Raw Material Inbound Logistics:</w:t>
      </w:r>
    </w:p>
    <w:p>
      <w:pPr>
        <w:numPr>
          <w:ilvl w:val="0"/>
          <w:numId w:val="1013"/>
        </w:numPr>
        <w:pStyle w:val="Compact"/>
      </w:pPr>
      <w:r>
        <w:t xml:space="preserve">Product Weight: 5.05 kg = 0.00505 tonnes</w:t>
      </w:r>
    </w:p>
    <w:p>
      <w:pPr>
        <w:numPr>
          <w:ilvl w:val="0"/>
          <w:numId w:val="1013"/>
        </w:numPr>
        <w:pStyle w:val="Compact"/>
      </w:pPr>
      <w:r>
        <w:t xml:space="preserve">Ocean Freight Distance (Europe to China): 15,000 km</w:t>
      </w:r>
    </w:p>
    <w:p>
      <w:pPr>
        <w:numPr>
          <w:ilvl w:val="0"/>
          <w:numId w:val="1013"/>
        </w:numPr>
        <w:pStyle w:val="Compact"/>
      </w:pPr>
      <w:r>
        <w:t xml:space="preserve">Emission Factor (Ocean Freight): 0.016 kg CO2e/tonne-km</w:t>
      </w:r>
    </w:p>
    <w:p>
      <w:pPr>
        <w:numPr>
          <w:ilvl w:val="0"/>
          <w:numId w:val="1013"/>
        </w:numPr>
        <w:pStyle w:val="Compact"/>
      </w:pPr>
      <w:r>
        <w:rPr>
          <w:bCs/>
          <w:b/>
        </w:rPr>
        <w:t xml:space="preserve">Emissions (Raw Material Inbound):</w:t>
      </w:r>
      <w:r>
        <w:t xml:space="preserve"> </w:t>
      </w:r>
      <w:r>
        <w:t xml:space="preserve">0.00505 tonnes * 15,000 km * 0.016 kg CO2e/tonne-km = 1.21 kg CO2e</w:t>
      </w:r>
    </w:p>
    <w:p>
      <w:pPr>
        <w:pStyle w:val="FirstParagraph"/>
      </w:pPr>
      <w:r>
        <w:rPr>
          <w:iCs/>
          <w:i/>
        </w:rPr>
        <w:t xml:space="preserve">(Note: These emissions are categorized as Scope 3, Category 4: Upstream Transportation and Distribution.)</w:t>
      </w:r>
    </w:p>
    <w:bookmarkEnd w:id="36"/>
    <w:bookmarkEnd w:id="37"/>
    <w:bookmarkStart w:id="38" w:name="scope-2-purchased-energy"/>
    <w:p>
      <w:pPr>
        <w:pStyle w:val="Heading4"/>
      </w:pPr>
      <w:r>
        <w:t xml:space="preserve">Scope 2: Purchased Energy</w:t>
      </w:r>
    </w:p>
    <w:p>
      <w:pPr>
        <w:pStyle w:val="FirstParagraph"/>
      </w:pPr>
      <w:r>
        <w:t xml:space="preserve">As calculated in the Manufacturing Emissions, emissions from non-renewable electricity are considered Scope 2.</w:t>
      </w:r>
    </w:p>
    <w:p>
      <w:pPr>
        <w:numPr>
          <w:ilvl w:val="0"/>
          <w:numId w:val="1014"/>
        </w:numPr>
        <w:pStyle w:val="Compact"/>
      </w:pPr>
      <w:r>
        <w:rPr>
          <w:bCs/>
          <w:b/>
        </w:rPr>
        <w:t xml:space="preserve">Total Scope 2 Emissions:</w:t>
      </w:r>
      <w:r>
        <w:t xml:space="preserve"> </w:t>
      </w:r>
      <w:r>
        <w:t xml:space="preserve">2.06 kg CO2e</w:t>
      </w:r>
    </w:p>
    <w:bookmarkEnd w:id="38"/>
    <w:bookmarkStart w:id="42" w:name="scope-3-downstream-emissions"/>
    <w:p>
      <w:pPr>
        <w:pStyle w:val="Heading4"/>
      </w:pPr>
      <w:r>
        <w:t xml:space="preserve">Scope 3: Downstream Emissions</w:t>
      </w:r>
    </w:p>
    <w:bookmarkStart w:id="39" w:name="X042fcf9fbe5eebc0e689f9accd175eeee994fa5"/>
    <w:p>
      <w:pPr>
        <w:pStyle w:val="Heading5"/>
      </w:pPr>
      <w:r>
        <w:t xml:space="preserve">D. Downstream Transportation &amp; Distribution (Finished Product)</w:t>
      </w:r>
    </w:p>
    <w:p>
      <w:pPr>
        <w:pStyle w:val="FirstParagraph"/>
      </w:pPr>
      <w:r>
        <w:rPr>
          <w:bCs/>
          <w:b/>
        </w:rPr>
        <w:t xml:space="preserve">From China to Europe Hub:</w:t>
      </w:r>
    </w:p>
    <w:p>
      <w:pPr>
        <w:numPr>
          <w:ilvl w:val="0"/>
          <w:numId w:val="1015"/>
        </w:numPr>
        <w:pStyle w:val="Compact"/>
      </w:pPr>
      <w:r>
        <w:t xml:space="preserve">Product Weight: 0.00505 tonnes</w:t>
      </w:r>
    </w:p>
    <w:p>
      <w:pPr>
        <w:numPr>
          <w:ilvl w:val="0"/>
          <w:numId w:val="1015"/>
        </w:numPr>
        <w:pStyle w:val="Compact"/>
      </w:pPr>
      <w:r>
        <w:t xml:space="preserve">Ocean Freight Distance (China to Europe Hub): 10,000 km</w:t>
      </w:r>
    </w:p>
    <w:p>
      <w:pPr>
        <w:numPr>
          <w:ilvl w:val="0"/>
          <w:numId w:val="1015"/>
        </w:numPr>
        <w:pStyle w:val="Compact"/>
      </w:pPr>
      <w:r>
        <w:t xml:space="preserve">Emission Factor (Ocean Freight): 0.016 kg CO2e/tonne-km</w:t>
      </w:r>
    </w:p>
    <w:p>
      <w:pPr>
        <w:numPr>
          <w:ilvl w:val="0"/>
          <w:numId w:val="1015"/>
        </w:numPr>
        <w:pStyle w:val="Compact"/>
      </w:pPr>
      <w:r>
        <w:rPr>
          <w:bCs/>
          <w:b/>
        </w:rPr>
        <w:t xml:space="preserve">Emissions (China to Europe Hub):</w:t>
      </w:r>
      <w:r>
        <w:t xml:space="preserve"> </w:t>
      </w:r>
      <w:r>
        <w:t xml:space="preserve">0.00505 tonnes * 10,000 km * 0.016 kg CO2e/tonne-km = 0.81 kg CO2e</w:t>
      </w:r>
    </w:p>
    <w:p>
      <w:pPr>
        <w:pStyle w:val="FirstParagraph"/>
      </w:pPr>
      <w:r>
        <w:rPr>
          <w:bCs/>
          <w:b/>
        </w:rPr>
        <w:t xml:space="preserve">From Europe Hub to Distribution Center:</w:t>
      </w:r>
    </w:p>
    <w:p>
      <w:pPr>
        <w:numPr>
          <w:ilvl w:val="0"/>
          <w:numId w:val="1016"/>
        </w:numPr>
        <w:pStyle w:val="Compact"/>
      </w:pPr>
      <w:r>
        <w:t xml:space="preserve">Product Weight: 0.00505 tonnes</w:t>
      </w:r>
    </w:p>
    <w:p>
      <w:pPr>
        <w:numPr>
          <w:ilvl w:val="0"/>
          <w:numId w:val="1016"/>
        </w:numPr>
        <w:pStyle w:val="Compact"/>
      </w:pPr>
      <w:r>
        <w:t xml:space="preserve">Road Freight Distance: 500 km</w:t>
      </w:r>
    </w:p>
    <w:p>
      <w:pPr>
        <w:numPr>
          <w:ilvl w:val="0"/>
          <w:numId w:val="1016"/>
        </w:numPr>
        <w:pStyle w:val="Compact"/>
      </w:pPr>
      <w:r>
        <w:t xml:space="preserve">Emission Factor (Road Freight): 0.105 kg CO2e/tonne-km</w:t>
      </w:r>
    </w:p>
    <w:p>
      <w:pPr>
        <w:numPr>
          <w:ilvl w:val="0"/>
          <w:numId w:val="1016"/>
        </w:numPr>
        <w:pStyle w:val="Compact"/>
      </w:pPr>
      <w:r>
        <w:rPr>
          <w:bCs/>
          <w:b/>
        </w:rPr>
        <w:t xml:space="preserve">Emissions (Europe Hub to DC):</w:t>
      </w:r>
      <w:r>
        <w:t xml:space="preserve"> </w:t>
      </w:r>
      <w:r>
        <w:t xml:space="preserve">0.00505 tonnes * 500 km * 0.105 kg CO2e/tonne-km = 0.26 kg CO2e</w:t>
      </w:r>
    </w:p>
    <w:p>
      <w:pPr>
        <w:pStyle w:val="FirstParagraph"/>
      </w:pPr>
      <w:r>
        <w:rPr>
          <w:bCs/>
          <w:b/>
        </w:rPr>
        <w:t xml:space="preserve">Last-Mile Delivery:</w:t>
      </w:r>
    </w:p>
    <w:p>
      <w:pPr>
        <w:numPr>
          <w:ilvl w:val="0"/>
          <w:numId w:val="1017"/>
        </w:numPr>
        <w:pStyle w:val="Compact"/>
      </w:pPr>
      <w:r>
        <w:t xml:space="preserve">Product Weight: 0.00505 tonnes</w:t>
      </w:r>
    </w:p>
    <w:p>
      <w:pPr>
        <w:numPr>
          <w:ilvl w:val="0"/>
          <w:numId w:val="1017"/>
        </w:numPr>
        <w:pStyle w:val="Compact"/>
      </w:pPr>
      <w:r>
        <w:t xml:space="preserve">Last-Mile Delivery Distance: 100 km</w:t>
      </w:r>
    </w:p>
    <w:p>
      <w:pPr>
        <w:numPr>
          <w:ilvl w:val="0"/>
          <w:numId w:val="1017"/>
        </w:numPr>
        <w:pStyle w:val="Compact"/>
      </w:pPr>
      <w:r>
        <w:t xml:space="preserve">Emission Factor (Parcel Van): 0.25 kg CO2e/tonne-km</w:t>
      </w:r>
    </w:p>
    <w:p>
      <w:pPr>
        <w:numPr>
          <w:ilvl w:val="0"/>
          <w:numId w:val="1017"/>
        </w:numPr>
        <w:pStyle w:val="Compact"/>
      </w:pPr>
      <w:r>
        <w:rPr>
          <w:bCs/>
          <w:b/>
        </w:rPr>
        <w:t xml:space="preserve">Emissions (Last-Mile):</w:t>
      </w:r>
      <w:r>
        <w:t xml:space="preserve"> </w:t>
      </w:r>
      <w:r>
        <w:t xml:space="preserve">0.00505 tonnes * 100 km * 0.25 kg CO2e/tonne-km = 0.13 kg CO2e</w:t>
      </w:r>
    </w:p>
    <w:p>
      <w:pPr>
        <w:pStyle w:val="FirstParagraph"/>
      </w:pPr>
      <w:r>
        <w:rPr>
          <w:iCs/>
          <w:i/>
        </w:rPr>
        <w:t xml:space="preserve">(Note: These emissions are categorized as Scope 3, Category 9: Downstream Transportation and Distribution.)</w:t>
      </w:r>
    </w:p>
    <w:bookmarkEnd w:id="39"/>
    <w:bookmarkStart w:id="40" w:name="e.-use-phase-emissions"/>
    <w:p>
      <w:pPr>
        <w:pStyle w:val="Heading5"/>
      </w:pPr>
      <w:r>
        <w:t xml:space="preserve">E. Use Phase Emissions</w:t>
      </w:r>
    </w:p>
    <w:p>
      <w:pPr>
        <w:numPr>
          <w:ilvl w:val="0"/>
          <w:numId w:val="1018"/>
        </w:numPr>
        <w:pStyle w:val="Compact"/>
      </w:pPr>
      <w:r>
        <w:t xml:space="preserve">Product Lifespan: 5 years</w:t>
      </w:r>
    </w:p>
    <w:p>
      <w:pPr>
        <w:numPr>
          <w:ilvl w:val="0"/>
          <w:numId w:val="1018"/>
        </w:numPr>
        <w:pStyle w:val="Compact"/>
      </w:pPr>
      <w:r>
        <w:t xml:space="preserve">Energy Consumption in Use: 10 kWh/year</w:t>
      </w:r>
    </w:p>
    <w:p>
      <w:pPr>
        <w:numPr>
          <w:ilvl w:val="0"/>
          <w:numId w:val="1018"/>
        </w:numPr>
        <w:pStyle w:val="Compact"/>
      </w:pPr>
      <w:r>
        <w:t xml:space="preserve">Total Energy Consumption over Lifespan: 5 years * 10 kWh/year = 50 kWh</w:t>
      </w:r>
    </w:p>
    <w:p>
      <w:pPr>
        <w:numPr>
          <w:ilvl w:val="0"/>
          <w:numId w:val="1018"/>
        </w:numPr>
        <w:pStyle w:val="Compact"/>
      </w:pPr>
      <w:r>
        <w:t xml:space="preserve">Emission Factor (EU Average Grid Mix): 0.181 kg CO2e/kWh</w:t>
      </w:r>
    </w:p>
    <w:p>
      <w:pPr>
        <w:numPr>
          <w:ilvl w:val="0"/>
          <w:numId w:val="1018"/>
        </w:numPr>
        <w:pStyle w:val="Compact"/>
      </w:pPr>
      <w:r>
        <w:rPr>
          <w:bCs/>
          <w:b/>
        </w:rPr>
        <w:t xml:space="preserve">Emissions (Use Phase):</w:t>
      </w:r>
      <w:r>
        <w:t xml:space="preserve"> </w:t>
      </w:r>
      <w:r>
        <w:t xml:space="preserve">50 kWh * 0.181 kg CO2e/kWh = 9.05 kg CO2e</w:t>
      </w:r>
    </w:p>
    <w:p>
      <w:pPr>
        <w:pStyle w:val="FirstParagraph"/>
      </w:pPr>
      <w:r>
        <w:rPr>
          <w:iCs/>
          <w:i/>
        </w:rPr>
        <w:t xml:space="preserve">(Note: These emissions are categorized as Scope 3, Category 11: Use of Sold Products.)</w:t>
      </w:r>
    </w:p>
    <w:bookmarkEnd w:id="40"/>
    <w:bookmarkStart w:id="41" w:name="f.-end-of-life-eol-emissions"/>
    <w:p>
      <w:pPr>
        <w:pStyle w:val="Heading5"/>
      </w:pPr>
      <w:r>
        <w:t xml:space="preserve">F. End-of-Life (EoL) Emissions</w:t>
      </w:r>
    </w:p>
    <w:p>
      <w:pPr>
        <w:numPr>
          <w:ilvl w:val="0"/>
          <w:numId w:val="1019"/>
        </w:numPr>
        <w:pStyle w:val="Compact"/>
      </w:pPr>
      <w:r>
        <w:t xml:space="preserve">Product Weight: 5.05 kg</w:t>
      </w:r>
    </w:p>
    <w:p>
      <w:pPr>
        <w:numPr>
          <w:ilvl w:val="0"/>
          <w:numId w:val="1019"/>
        </w:numPr>
        <w:pStyle w:val="Compact"/>
      </w:pPr>
      <w:r>
        <w:t xml:space="preserve">Recyclability Percentage: 85%</w:t>
      </w:r>
    </w:p>
    <w:p>
      <w:pPr>
        <w:numPr>
          <w:ilvl w:val="0"/>
          <w:numId w:val="1019"/>
        </w:numPr>
        <w:pStyle w:val="Compact"/>
      </w:pPr>
      <w:r>
        <w:t xml:space="preserve">Waste for Disposal: 5.05 kg * (1 - 0.85) = 0.7575 kg</w:t>
      </w:r>
    </w:p>
    <w:p>
      <w:pPr>
        <w:numPr>
          <w:ilvl w:val="0"/>
          <w:numId w:val="1019"/>
        </w:numPr>
        <w:pStyle w:val="Compact"/>
      </w:pPr>
      <w:r>
        <w:t xml:space="preserve">Emission Factor (EoL Disposal): 0.5 kg CO2e/kg</w:t>
      </w:r>
    </w:p>
    <w:p>
      <w:pPr>
        <w:numPr>
          <w:ilvl w:val="0"/>
          <w:numId w:val="1019"/>
        </w:numPr>
        <w:pStyle w:val="Compact"/>
      </w:pPr>
      <w:r>
        <w:rPr>
          <w:bCs/>
          <w:b/>
        </w:rPr>
        <w:t xml:space="preserve">Emissions (End-of-Life Disposal):</w:t>
      </w:r>
      <w:r>
        <w:t xml:space="preserve"> </w:t>
      </w:r>
      <w:r>
        <w:t xml:space="preserve">0.7575 kg * 0.5 kg CO2e/kg = 0.38 kg CO2e</w:t>
      </w:r>
    </w:p>
    <w:p>
      <w:pPr>
        <w:pStyle w:val="FirstParagraph"/>
      </w:pPr>
      <w:r>
        <w:t xml:space="preserve">Additionally, the existence of "Circular/Take-back Programs" (znentdtyms: Yes) indicates efforts to mitigate end-of-life impacts. While not quantitatively credited in this simplified calculation (due to complexity without specific program data), such programs can significantly reduce virgin material demand and associated emissions.</w:t>
      </w:r>
    </w:p>
    <w:p>
      <w:pPr>
        <w:pStyle w:val="BodyText"/>
      </w:pPr>
      <w:r>
        <w:rPr>
          <w:iCs/>
          <w:i/>
        </w:rPr>
        <w:t xml:space="preserve">(Note: These emissions are categorized as Scope 3, Category 12: End-of-Life Treatment of Sold Products.)</w:t>
      </w:r>
    </w:p>
    <w:p>
      <w:r>
        <w:pict>
          <v:rect style="width:0;height:1.5pt" o:hralign="center" o:hrstd="t" o:hr="t"/>
        </w:pict>
      </w:r>
    </w:p>
    <w:bookmarkEnd w:id="41"/>
    <w:bookmarkEnd w:id="42"/>
    <w:bookmarkEnd w:id="43"/>
    <w:bookmarkEnd w:id="44"/>
    <w:bookmarkStart w:id="46" w:name="Xe719bae385547d8d5c8b2976623d6cb61146116"/>
    <w:p>
      <w:pPr>
        <w:pStyle w:val="Heading2"/>
      </w:pPr>
      <w:r>
        <w:t xml:space="preserve">Total Product Carbon Footprint (PCF) Summary for tovnlquejs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 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Materials Acquisition &amp; Processing</w:t>
            </w:r>
          </w:p>
        </w:tc>
        <w:tc>
          <w:tcPr/>
          <w:p>
            <w:pPr>
              <w:pStyle w:val="Compact"/>
              <w:jc w:val="left"/>
            </w:pPr>
            <w:r>
              <w:t xml:space="preserve">Scope 3 (Category 1)</w:t>
            </w:r>
          </w:p>
        </w:tc>
        <w:tc>
          <w:tcPr/>
          <w:p>
            <w:pPr>
              <w:pStyle w:val="Compact"/>
              <w:jc w:val="left"/>
            </w:pPr>
            <w:r>
              <w:t xml:space="preserve">15.88</w:t>
            </w:r>
          </w:p>
        </w:tc>
      </w:tr>
      <w:tr>
        <w:tc>
          <w:tcPr/>
          <w:p>
            <w:pPr>
              <w:pStyle w:val="Compact"/>
              <w:jc w:val="left"/>
            </w:pPr>
            <w:r>
              <w:t xml:space="preserve">Manufacturing (Electricity)</w:t>
            </w:r>
          </w:p>
        </w:tc>
        <w:tc>
          <w:tcPr/>
          <w:p>
            <w:pPr>
              <w:pStyle w:val="Compact"/>
              <w:jc w:val="left"/>
            </w:pPr>
            <w:r>
              <w:t xml:space="preserve">Scope 2</w:t>
            </w:r>
          </w:p>
        </w:tc>
        <w:tc>
          <w:tcPr/>
          <w:p>
            <w:pPr>
              <w:pStyle w:val="Compact"/>
              <w:jc w:val="left"/>
            </w:pPr>
            <w:r>
              <w:t xml:space="preserve">2.06</w:t>
            </w:r>
          </w:p>
        </w:tc>
      </w:tr>
      <w:tr>
        <w:tc>
          <w:tcPr/>
          <w:p>
            <w:pPr>
              <w:pStyle w:val="Compact"/>
              <w:jc w:val="left"/>
            </w:pPr>
            <w:r>
              <w:t xml:space="preserve">Upstream Transportation (Raw Materials)</w:t>
            </w:r>
          </w:p>
        </w:tc>
        <w:tc>
          <w:tcPr/>
          <w:p>
            <w:pPr>
              <w:pStyle w:val="Compact"/>
              <w:jc w:val="left"/>
            </w:pPr>
            <w:r>
              <w:t xml:space="preserve">Scope 3 (Category 4)</w:t>
            </w:r>
          </w:p>
        </w:tc>
        <w:tc>
          <w:tcPr/>
          <w:p>
            <w:pPr>
              <w:pStyle w:val="Compact"/>
              <w:jc w:val="left"/>
            </w:pPr>
            <w:r>
              <w:t xml:space="preserve">1.21</w:t>
            </w:r>
          </w:p>
        </w:tc>
      </w:tr>
      <w:tr>
        <w:tc>
          <w:tcPr/>
          <w:p>
            <w:pPr>
              <w:pStyle w:val="Compact"/>
              <w:jc w:val="left"/>
            </w:pPr>
            <w:r>
              <w:t xml:space="preserve">Downstream Transportation (Finished Product)</w:t>
            </w:r>
          </w:p>
        </w:tc>
        <w:tc>
          <w:tcPr/>
          <w:p>
            <w:pPr>
              <w:pStyle w:val="Compact"/>
              <w:jc w:val="left"/>
            </w:pPr>
            <w:r>
              <w:t xml:space="preserve">Scope 3 (Category 9)</w:t>
            </w:r>
          </w:p>
        </w:tc>
        <w:tc>
          <w:tcPr/>
          <w:p>
            <w:pPr>
              <w:pStyle w:val="Compact"/>
              <w:jc w:val="left"/>
            </w:pPr>
            <w:r>
              <w:t xml:space="preserve">1.20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9.05</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0.38</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29.78</w:t>
            </w:r>
          </w:p>
        </w:tc>
      </w:tr>
    </w:tbl>
    <w:bookmarkStart w:id="45" w:name="scope-wise-breakdown"/>
    <w:p>
      <w:pPr>
        <w:pStyle w:val="Heading3"/>
      </w:pPr>
      <w:r>
        <w:t xml:space="preserve">Scope-wise Breakdown:</w:t>
      </w:r>
    </w:p>
    <w:p>
      <w:pPr>
        <w:numPr>
          <w:ilvl w:val="0"/>
          <w:numId w:val="1020"/>
        </w:numPr>
        <w:pStyle w:val="Compact"/>
      </w:pPr>
      <w:r>
        <w:rPr>
          <w:bCs/>
          <w:b/>
        </w:rPr>
        <w:t xml:space="preserve">Total Scope 1 Emissions:</w:t>
      </w:r>
      <w:r>
        <w:t xml:space="preserve"> </w:t>
      </w:r>
      <w:r>
        <w:t xml:space="preserve">0.00 kg CO2e (Assumed negligible for direct process emissions; covered by Scope 2 for energy)</w:t>
      </w:r>
    </w:p>
    <w:p>
      <w:pPr>
        <w:numPr>
          <w:ilvl w:val="0"/>
          <w:numId w:val="1020"/>
        </w:numPr>
        <w:pStyle w:val="Compact"/>
      </w:pPr>
      <w:r>
        <w:rPr>
          <w:bCs/>
          <w:b/>
        </w:rPr>
        <w:t xml:space="preserve">Total Scope 2 Emissions:</w:t>
      </w:r>
      <w:r>
        <w:t xml:space="preserve"> </w:t>
      </w:r>
      <w:r>
        <w:t xml:space="preserve">2.06 kg CO2e</w:t>
      </w:r>
    </w:p>
    <w:p>
      <w:pPr>
        <w:numPr>
          <w:ilvl w:val="0"/>
          <w:numId w:val="1020"/>
        </w:numPr>
        <w:pStyle w:val="Compact"/>
      </w:pPr>
      <w:r>
        <w:rPr>
          <w:bCs/>
          <w:b/>
        </w:rPr>
        <w:t xml:space="preserve">Total Scope 3 Emissions:</w:t>
      </w:r>
      <w:r>
        <w:t xml:space="preserve"> </w:t>
      </w:r>
      <w:r>
        <w:t xml:space="preserve">15.88 (Materials) + 1.21 (Upstream Transport) + 1.20 (Downstream Transport) + 9.05 (Use Phase) + 0.38 (EoL) = 27.72 kg CO2e</w:t>
      </w:r>
    </w:p>
    <w:p>
      <w:pPr>
        <w:pStyle w:val="FirstParagraph"/>
      </w:pPr>
      <w:r>
        <w:t xml:space="preserve">Total Scope 3 coverage is approximately 93.08% of the total PCF, which is close to the 95% target, primarily limited by the illustrative nature of some data. With complete primary data, higher coverage would be achievable.</w:t>
      </w:r>
    </w:p>
    <w:p>
      <w:r>
        <w:pict>
          <v:rect style="width:0;height:1.5pt" o:hralign="center" o:hrstd="t" o:hr="t"/>
        </w:pict>
      </w:r>
    </w:p>
    <w:bookmarkEnd w:id="45"/>
    <w:bookmarkEnd w:id="46"/>
    <w:bookmarkStart w:id="50" w:name="review-report"/>
    <w:p>
      <w:pPr>
        <w:pStyle w:val="Heading2"/>
      </w:pPr>
      <w:r>
        <w:t xml:space="preserve">5. Review &amp; Report</w:t>
      </w:r>
    </w:p>
    <w:bookmarkStart w:id="47" w:name="emissions-hotspots"/>
    <w:p>
      <w:pPr>
        <w:pStyle w:val="Heading3"/>
      </w:pPr>
      <w:r>
        <w:t xml:space="preserve">Emissions Hotspots:</w:t>
      </w:r>
    </w:p>
    <w:p>
      <w:pPr>
        <w:pStyle w:val="FirstParagraph"/>
      </w:pPr>
      <w:r>
        <w:t xml:space="preserve">The primary emissions hotspots for</w:t>
      </w:r>
      <w:r>
        <w:t xml:space="preserve"> </w:t>
      </w:r>
      <w:r>
        <w:rPr>
          <w:bCs/>
          <w:b/>
        </w:rPr>
        <w:t xml:space="preserve">tovnlquejs</w:t>
      </w:r>
      <w:r>
        <w:t xml:space="preserve"> </w:t>
      </w:r>
      <w:r>
        <w:t xml:space="preserve">are identified as:</w:t>
      </w:r>
    </w:p>
    <w:p>
      <w:pPr>
        <w:numPr>
          <w:ilvl w:val="0"/>
          <w:numId w:val="1021"/>
        </w:numPr>
        <w:pStyle w:val="Compact"/>
      </w:pPr>
      <w:r>
        <w:rPr>
          <w:bCs/>
          <w:b/>
        </w:rPr>
        <w:t xml:space="preserve">Materials Acquisition &amp; Processing (Scope 3, Category 1):</w:t>
      </w:r>
      <w:r>
        <w:t xml:space="preserve"> </w:t>
      </w:r>
      <w:r>
        <w:t xml:space="preserve">This stage contributes the largest share (approx. 53.32%) of the total carbon footprint, highlighting the importance of sustainable material sourcing, design for lighter weight, and increased use of recycled content.</w:t>
      </w:r>
    </w:p>
    <w:p>
      <w:pPr>
        <w:numPr>
          <w:ilvl w:val="0"/>
          <w:numId w:val="1021"/>
        </w:numPr>
        <w:pStyle w:val="Compact"/>
      </w:pPr>
      <w:r>
        <w:rPr>
          <w:bCs/>
          <w:b/>
        </w:rPr>
        <w:t xml:space="preserve">Use Phase (Scope 3, Category 11):</w:t>
      </w:r>
      <w:r>
        <w:t xml:space="preserve"> </w:t>
      </w:r>
      <w:r>
        <w:t xml:space="preserve">Energy consumption during the product\'s 5-year lifespan accounts for a significant portion (approx. 30.39%) of the total footprint. This underscores the need for energy-efficient design and promoting renewable energy use by consumers.</w:t>
      </w:r>
    </w:p>
    <w:p>
      <w:pPr>
        <w:numPr>
          <w:ilvl w:val="0"/>
          <w:numId w:val="1021"/>
        </w:numPr>
        <w:pStyle w:val="Compact"/>
      </w:pPr>
      <w:r>
        <w:rPr>
          <w:bCs/>
          <w:b/>
        </w:rPr>
        <w:t xml:space="preserve">Manufacturing (Scope 2):</w:t>
      </w:r>
      <w:r>
        <w:t xml:space="preserve"> </w:t>
      </w:r>
      <w:r>
        <w:t xml:space="preserve">While substantial, its impact is lessened by the reported 75% renewable energy usage. Further increasing renewable energy adoption or improving energy efficiency will reduce this impact.</w:t>
      </w:r>
    </w:p>
    <w:bookmarkEnd w:id="47"/>
    <w:bookmarkStart w:id="48" w:name="reliability-limitations"/>
    <w:p>
      <w:pPr>
        <w:pStyle w:val="Heading3"/>
      </w:pPr>
      <w:r>
        <w:t xml:space="preserve">Reliability &amp; Limitations:</w:t>
      </w:r>
    </w:p>
    <w:p>
      <w:pPr>
        <w:pStyle w:val="FirstParagraph"/>
      </w:pPr>
      <w:r>
        <w:t xml:space="preserve">This report provides a high-level PCF analysis based on the provided parameters. The reliability is influenced by:</w:t>
      </w:r>
    </w:p>
    <w:p>
      <w:pPr>
        <w:numPr>
          <w:ilvl w:val="0"/>
          <w:numId w:val="1022"/>
        </w:numPr>
        <w:pStyle w:val="Compact"/>
      </w:pPr>
      <w:r>
        <w:rPr>
          <w:bCs/>
          <w:b/>
        </w:rPr>
        <w:t xml:space="preserve">Simulated BOM Data:</w:t>
      </w:r>
      <w:r>
        <w:t xml:space="preserve"> </w:t>
      </w:r>
      <w:r>
        <w:t xml:space="preserve">The Bill of Materials data (\'qeivnzsv\') was simulated. Actual primary data for each material and its specific emission factor would yield higher accuracy.</w:t>
      </w:r>
    </w:p>
    <w:p>
      <w:pPr>
        <w:numPr>
          <w:ilvl w:val="0"/>
          <w:numId w:val="1022"/>
        </w:numPr>
        <w:pStyle w:val="Compact"/>
      </w:pPr>
      <w:r>
        <w:rPr>
          <w:bCs/>
          <w:b/>
        </w:rPr>
        <w:t xml:space="preserve">Generic Emission Factors:</w:t>
      </w:r>
      <w:r>
        <w:t xml:space="preserve"> </w:t>
      </w:r>
      <w:r>
        <w:t xml:space="preserve">Industry-average emission factors were used for electricity grids, transportation, and end-of-life processes. Product-specific or supplier-specific primary data would enhance precision.</w:t>
      </w:r>
    </w:p>
    <w:p>
      <w:pPr>
        <w:numPr>
          <w:ilvl w:val="0"/>
          <w:numId w:val="1022"/>
        </w:numPr>
        <w:pStyle w:val="Compact"/>
      </w:pPr>
      <w:r>
        <w:rPr>
          <w:bCs/>
          <w:b/>
        </w:rPr>
        <w:t xml:space="preserve">Assumptions:</w:t>
      </w:r>
      <w:r>
        <w:t xml:space="preserve"> </w:t>
      </w:r>
      <w:r>
        <w:t xml:space="preserve">Assumptions were made for placeholder parameters (e.g., specific transport distances per mode, average load for last-mile delivery). Actual operational data from vnolqmlsds for these aspects would improve accuracy.</w:t>
      </w:r>
    </w:p>
    <w:bookmarkEnd w:id="48"/>
    <w:bookmarkStart w:id="49" w:name="recommendations"/>
    <w:p>
      <w:pPr>
        <w:pStyle w:val="Heading3"/>
      </w:pPr>
      <w:r>
        <w:t xml:space="preserve">Recommendations:</w:t>
      </w:r>
    </w:p>
    <w:p>
      <w:pPr>
        <w:numPr>
          <w:ilvl w:val="0"/>
          <w:numId w:val="1023"/>
        </w:numPr>
        <w:pStyle w:val="Compact"/>
      </w:pPr>
      <w:r>
        <w:rPr>
          <w:bCs/>
          <w:b/>
        </w:rPr>
        <w:t xml:space="preserve">Material Optimization:</w:t>
      </w:r>
      <w:r>
        <w:t xml:space="preserve"> </w:t>
      </w:r>
      <w:r>
        <w:t xml:space="preserve">Investigate opportunities to use lower-carbon materials, increase recycled content further, or explore bio-based alternatives, particularly for the steel chassis and plastic casing.</w:t>
      </w:r>
    </w:p>
    <w:p>
      <w:pPr>
        <w:numPr>
          <w:ilvl w:val="0"/>
          <w:numId w:val="1023"/>
        </w:numPr>
        <w:pStyle w:val="Compact"/>
      </w:pPr>
      <w:r>
        <w:rPr>
          <w:bCs/>
          <w:b/>
        </w:rPr>
        <w:t xml:space="preserve">Energy Efficiency in Use:</w:t>
      </w:r>
      <w:r>
        <w:t xml:space="preserve"> </w:t>
      </w:r>
      <w:r>
        <w:t xml:space="preserve">Focus on design improvements to reduce the product\'s energy consumption during its lifespan. Provide users with guidance on energy-efficient operation.</w:t>
      </w:r>
    </w:p>
    <w:p>
      <w:pPr>
        <w:numPr>
          <w:ilvl w:val="0"/>
          <w:numId w:val="1023"/>
        </w:numPr>
        <w:pStyle w:val="Compact"/>
      </w:pPr>
      <w:r>
        <w:rPr>
          <w:bCs/>
          <w:b/>
        </w:rPr>
        <w:t xml:space="preserve">Supply Chain Engagement:</w:t>
      </w:r>
      <w:r>
        <w:t xml:space="preserve"> </w:t>
      </w:r>
      <w:r>
        <w:t xml:space="preserve">Work with suppliers to obtain more specific emission data for purchased goods and services, and encourage their decarbonization efforts.</w:t>
      </w:r>
    </w:p>
    <w:p>
      <w:pPr>
        <w:numPr>
          <w:ilvl w:val="0"/>
          <w:numId w:val="1023"/>
        </w:numPr>
        <w:pStyle w:val="Compact"/>
      </w:pPr>
      <w:r>
        <w:rPr>
          <w:bCs/>
          <w:b/>
        </w:rPr>
        <w:t xml:space="preserve">Logistics Optimization:</w:t>
      </w:r>
      <w:r>
        <w:t xml:space="preserve"> </w:t>
      </w:r>
      <w:r>
        <w:t xml:space="preserve">Explore more energy-efficient transport modes where feasible, optimize routes, and consolidate shipments to reduce transport-related emissions.</w:t>
      </w:r>
    </w:p>
    <w:p>
      <w:pPr>
        <w:numPr>
          <w:ilvl w:val="0"/>
          <w:numId w:val="1023"/>
        </w:numPr>
        <w:pStyle w:val="Compact"/>
      </w:pPr>
      <w:r>
        <w:rPr>
          <w:bCs/>
          <w:b/>
        </w:rPr>
        <w:t xml:space="preserve">End-of-Life Enhancement:</w:t>
      </w:r>
      <w:r>
        <w:t xml:space="preserve"> </w:t>
      </w:r>
      <w:r>
        <w:t xml:space="preserve">Continue to support and expand circular/take-back programs, and explore design for disassembly and material recovery to maximize the recyclability beyond 85%.</w:t>
      </w:r>
    </w:p>
    <w:p>
      <w:pPr>
        <w:pStyle w:val="FirstParagraph"/>
      </w:pPr>
      <w:r>
        <w:t xml:space="preserve">This report serves as a foundational assessment for</w:t>
      </w:r>
      <w:r>
        <w:t xml:space="preserve"> </w:t>
      </w:r>
      <w:r>
        <w:rPr>
          <w:bCs/>
          <w:b/>
        </w:rPr>
        <w:t xml:space="preserve">vnolqmlsds</w:t>
      </w:r>
      <w:r>
        <w:t xml:space="preserve"> </w:t>
      </w:r>
      <w:r>
        <w:t xml:space="preserve">to understand the environmental footprint of</w:t>
      </w:r>
      <w:r>
        <w:t xml:space="preserve"> </w:t>
      </w:r>
      <w:r>
        <w:rPr>
          <w:bCs/>
          <w:b/>
        </w:rPr>
        <w:t xml:space="preserve">tovnlquejs</w:t>
      </w:r>
      <w:r>
        <w:t xml:space="preserve"> </w:t>
      </w:r>
      <w:r>
        <w:t xml:space="preserve">and identifies key areas for targeted sustainability initiatives.</w:t>
      </w:r>
    </w:p>
    <w:bookmarkEnd w:id="49"/>
    <w:bookmarkEnd w:id="50"/>
    <w:p>
      <w:pPr>
        <w:pStyle w:val="BodyText"/>
      </w:pPr>
      <w:r>
        <w:t xml:space="preserve">Confidential - Internal Use Only | Page</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tovnlquejs</dc:title>
  <dc:creator/>
  <dc:description>Detailed Product Carbon Footprint (PCF) analysis report for tovnlquejs by Senior Sustainability Consultant iplrigjxju, adhering to GHG Protocol and 2026 LSR Update standards.</dc:description>
  <dc:language>en</dc:language>
  <cp:keywords/>
  <dcterms:created xsi:type="dcterms:W3CDTF">2026-05-30T10:33:31Z</dcterms:created>
  <dcterms:modified xsi:type="dcterms:W3CDTF">2026-05-30T10:33:31Z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