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toiqolugtp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toiqolugtp</w:t>
      </w:r>
    </w:p>
    <w:p>
      <w:pPr>
        <w:pStyle w:val="BodyText"/>
      </w:pPr>
      <w:r>
        <w:rPr>
          <w:bCs/>
          <w:b/>
        </w:rPr>
        <w:t xml:space="preserve">Company:</w:t>
      </w:r>
      <w:r>
        <w:t xml:space="preserve"> </w:t>
      </w:r>
      <w:r>
        <w:t xml:space="preserve">hjfsqrxxqj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shzttkjrlx</w:t>
      </w:r>
    </w:p>
    <w:p>
      <w:pPr>
        <w:pStyle w:val="BodyText"/>
      </w:pPr>
      <w:r>
        <w:rPr>
          <w:iCs/>
          <w:i/>
        </w:rPr>
        <w:t xml:space="preserve">Disclaimer: This report is generated based on available data and industry standards, providing an estimate of the product carbon footprint for toiqolugtp. While efforts have been made to ensure accuracy, the actual impact may vary depending on real-world conditions and data availability.</w:t>
      </w:r>
    </w:p>
    <w:bookmarkEnd w:id="20"/>
    <w:bookmarkStart w:id="21" w:name="Xb32a966ec8765a49a017ea1203409f221fad01a"/>
    <w:p>
      <w:pPr>
        <w:pStyle w:val="Heading1"/>
      </w:pPr>
      <w:r>
        <w:t xml:space="preserve">Product Carbon Footprint Analysis Report for toiqolugtp</w:t>
      </w:r>
    </w:p>
    <w:p>
      <w:pPr>
        <w:pStyle w:val="FirstParagraph"/>
      </w:pPr>
      <w:r>
        <w:rPr>
          <w:bCs/>
          <w:b/>
        </w:rPr>
        <w:t xml:space="preserve">Generated Date:</w:t>
      </w:r>
      <w:r>
        <w:t xml:space="preserve"> </w:t>
      </w:r>
      <w:r>
        <w:t xml:space="preserve">May 18, 2026</w:t>
      </w:r>
    </w:p>
    <w:p>
      <w:pPr>
        <w:pStyle w:val="BodyText"/>
      </w:pPr>
      <w:r>
        <w:rPr>
          <w:bCs/>
          <w:b/>
        </w:rPr>
        <w:t xml:space="preserve">Company:</w:t>
      </w:r>
      <w:r>
        <w:t xml:space="preserve"> </w:t>
      </w:r>
      <w:r>
        <w:t xml:space="preserve">hjfsqrxxqj</w:t>
      </w:r>
    </w:p>
    <w:p>
      <w:pPr>
        <w:pStyle w:val="BodyText"/>
      </w:pPr>
      <w:r>
        <w:rPr>
          <w:bCs/>
          <w:b/>
        </w:rPr>
        <w:t xml:space="preserve">Senior Sustainability Consultant:</w:t>
      </w:r>
      <w:r>
        <w:t xml:space="preserve"> </w:t>
      </w:r>
      <w:r>
        <w:t xml:space="preserve">shzttkjrlx</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\'toiqolugtp\', manufactured by \'hjfsqrxxqj\'. The analysis was conducted by Senior Sustainability Consultant shzttkjrlx, adhering strictly to the Greenhouse Gas (GHG) Protocol standards, including the latest 2026 Land Sector and Removals (LSR) update and enhanced Scope 3 compliance requirements. The primary objective is to quantify the greenhouse gas emissions associated with the product\'s lifecycle from a cradle-to-gate perspective, extended to include the use phase and end-of-life scenarios, to identify major emission hotspots and provide actionable insights for sustainability improvements.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was performed following a lifecycle assessment (LCA) approach in accordance with the GHG Protocol Product Standard. This methodology ensures a comprehensive evaluation of greenhouse gas (GHG) emissions across the product\'s value chain, expressed in kilograms of carbon dioxide equivalents (kg CO₂e).</w:t>
      </w:r>
    </w:p>
    <w:bookmarkStart w:id="23"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toiqolugtp</w:t>
      </w:r>
      <w:r>
        <w:t xml:space="preserve">.</w:t>
      </w:r>
    </w:p>
    <w:bookmarkEnd w:id="23"/>
    <w:bookmarkStart w:id="24" w:name="system-boundary"/>
    <w:p>
      <w:pPr>
        <w:pStyle w:val="Heading3"/>
      </w:pPr>
      <w:r>
        <w:t xml:space="preserve">1.2 System Boundary</w:t>
      </w:r>
    </w:p>
    <w:p>
      <w:pPr>
        <w:pStyle w:val="FirstParagraph"/>
      </w:pPr>
      <w:r>
        <w:t xml:space="preserve">The primary system boundary for this PCF analysis is "factory_gate" (cradle-to-gate). However, to provide a more holistic view of the product\'s environmental impact, the analysis has been extended to include the use phase and end-of-life (EoL) scenarios, making it closer to a cradle-to-grave assessment for relevant impact categories.</w:t>
      </w:r>
      <w:r>
        <w:t xml:space="preserve"> </w:t>
      </w:r>
      <w:r>
        <w:t xml:space="preserve">The system includes:</w:t>
      </w:r>
    </w:p>
    <w:p>
      <w:pPr>
        <w:numPr>
          <w:ilvl w:val="0"/>
          <w:numId w:val="1001"/>
        </w:numPr>
        <w:pStyle w:val="Compact"/>
      </w:pPr>
      <w:r>
        <w:t xml:space="preserve">Raw material extraction and processing.</w:t>
      </w:r>
    </w:p>
    <w:p>
      <w:pPr>
        <w:numPr>
          <w:ilvl w:val="0"/>
          <w:numId w:val="1001"/>
        </w:numPr>
        <w:pStyle w:val="Compact"/>
      </w:pPr>
      <w:r>
        <w:t xml:space="preserve">Manufacturing of components and final assembly.</w:t>
      </w:r>
    </w:p>
    <w:p>
      <w:pPr>
        <w:numPr>
          <w:ilvl w:val="0"/>
          <w:numId w:val="1001"/>
        </w:numPr>
        <w:pStyle w:val="Compact"/>
      </w:pPr>
      <w:r>
        <w:t xml:space="preserve">Inbound and outbound transportation.</w:t>
      </w:r>
    </w:p>
    <w:p>
      <w:pPr>
        <w:numPr>
          <w:ilvl w:val="0"/>
          <w:numId w:val="1001"/>
        </w:numPr>
        <w:pStyle w:val="Compact"/>
      </w:pPr>
      <w:r>
        <w:t xml:space="preserve">Product use phase.</w:t>
      </w:r>
    </w:p>
    <w:p>
      <w:pPr>
        <w:numPr>
          <w:ilvl w:val="0"/>
          <w:numId w:val="1001"/>
        </w:numPr>
        <w:pStyle w:val="Compact"/>
      </w:pPr>
      <w:r>
        <w:t xml:space="preserve">End-of-Life treatment (disposal and recycling).</w:t>
      </w:r>
    </w:p>
    <w:bookmarkEnd w:id="24"/>
    <w:bookmarkStart w:id="25" w:name="geographic-scope"/>
    <w:p>
      <w:pPr>
        <w:pStyle w:val="Heading3"/>
      </w:pPr>
      <w:r>
        <w:t xml:space="preserve">1.3 Geographic Scope</w:t>
      </w:r>
    </w:p>
    <w:p>
      <w:pPr>
        <w:pStyle w:val="FirstParagraph"/>
      </w:pPr>
      <w:r>
        <w:t xml:space="preserve">The geographic scope focuses on the Final Production Country: China, with a Supply Chain Focus on Europe. This implies that manufacturing emissions are primarily attributed to the Chinese energy mix, while upstream material sourcing and downstream distribution are analyzed with a European focus.</w:t>
      </w:r>
    </w:p>
    <w:bookmarkEnd w:id="25"/>
    <w:bookmarkStart w:id="26" w:name="accounting-standard-and-updates"/>
    <w:p>
      <w:pPr>
        <w:pStyle w:val="Heading3"/>
      </w:pPr>
      <w:r>
        <w:t xml:space="preserve">1.4 Accounting Standard and Updates</w:t>
      </w:r>
    </w:p>
    <w:p>
      <w:pPr>
        <w:pStyle w:val="FirstParagraph"/>
      </w:pPr>
      <w:r>
        <w:t xml:space="preserve">This report explicitly adheres to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rPr>
          <w:bCs/>
          <w:b/>
        </w:rPr>
        <w:t xml:space="preserve">2026 LSR Update:</w:t>
      </w:r>
      <w:r>
        <w:t xml:space="preserve"> </w:t>
      </w:r>
      <w:r>
        <w:t xml:space="preserve">The analysis applies the principles of the GHG Protocol Land Sector and Removals (LSR) Standard, published on January 30, 2026, which becomes effective January 1, 2027. This standard provides accounting requirements and guidance for entities with significant land sector activities and those choosing to report CO₂ removals. While detailed guidance is expected in Q2 2026, its principles for agricultural production and land use change emissions are considered where relevant. Forest carbon accounting is explicitly not included in this version of the LSR Standard.</w:t>
      </w:r>
    </w:p>
    <w:p>
      <w:pPr>
        <w:pStyle w:val="BodyText"/>
      </w:pPr>
      <w:r>
        <w:rPr>
          <w:bCs/>
          <w:b/>
        </w:rPr>
        <w:t xml:space="preserve">Scope 3 Compliance:</w:t>
      </w:r>
      <w:r>
        <w:t xml:space="preserve"> </w:t>
      </w:r>
      <w:r>
        <w:t xml:space="preserve">In line with the 2026 requirements, efforts have been made to ensure at least 95% coverage for all relevant Scope 3 emissions. Data disaggregation by source type (primary vs. secondary) has been prioritized to enhance data quality and transparency.</w:t>
      </w:r>
    </w:p>
    <w:p>
      <w:r>
        <w:pict>
          <v:rect style="width:0;height:1.5pt" o:hralign="center" o:hrstd="t" o:hr="t"/>
        </w:pict>
      </w:r>
    </w:p>
    <w:bookmarkEnd w:id="26"/>
    <w:bookmarkEnd w:id="27"/>
    <w:bookmarkStart w:id="33" w:name="Xfb19d101eca9f89879e43a035837baa721eebe8"/>
    <w:p>
      <w:pPr>
        <w:pStyle w:val="Heading2"/>
      </w:pPr>
      <w:r>
        <w:t xml:space="preserve">2. &amp; 3. Lifecycle Inventory Mapping and Data Collection</w:t>
      </w:r>
    </w:p>
    <w:p>
      <w:pPr>
        <w:pStyle w:val="FirstParagraph"/>
      </w:pPr>
      <w:r>
        <w:t xml:space="preserve">This section details the inputs and processes across the lifecycle of \'toiqolugtp\', incorporating specific parameters provided. Emission factors are sourced from industry-standard databases such as Ecoinvent and DEFRA where applicable.</w:t>
      </w:r>
    </w:p>
    <w:bookmarkStart w:id="28" w:name="X23a413ee79dc4ce45866da1f69cbf45c86ebc93"/>
    <w:p>
      <w:pPr>
        <w:pStyle w:val="Heading3"/>
      </w:pPr>
      <w:r>
        <w:t xml:space="preserve">2.1 Detailed Bill of Materials (BOM) - purlgrvy</w:t>
      </w:r>
    </w:p>
    <w:p>
      <w:pPr>
        <w:pStyle w:val="FirstParagraph"/>
      </w:pPr>
      <w:r>
        <w:t xml:space="preserve">The material impact calculation utilizes the provided Detailed Bill of Materials (BOM) for \'purlgrvy\', ensuring high accuracy instead of default estimates. The \'Total Carbon\' values from the BOM are directly used to represent the material acquisition and pre-processing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Steel Chassis</w:t>
            </w:r>
          </w:p>
        </w:tc>
        <w:tc>
          <w:tcPr/>
          <w:p>
            <w:pPr>
              <w:pStyle w:val="Compact"/>
              <w:jc w:val="left"/>
            </w:pPr>
            <w:r>
              <w:t xml:space="preserve">Metals</w:t>
            </w:r>
          </w:p>
        </w:tc>
        <w:tc>
          <w:tcPr/>
          <w:p>
            <w:pPr>
              <w:pStyle w:val="Compact"/>
              <w:jc w:val="left"/>
            </w:pPr>
            <w:r>
              <w:t xml:space="preserve">Steel Production</w:t>
            </w:r>
          </w:p>
        </w:tc>
        <w:tc>
          <w:tcPr/>
          <w:p>
            <w:pPr>
              <w:pStyle w:val="Compact"/>
              <w:jc w:val="left"/>
            </w:pPr>
            <w:r>
              <w:t xml:space="preserve">5.0</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10.00</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 (ABS)</w:t>
            </w:r>
          </w:p>
        </w:tc>
        <w:tc>
          <w:tcPr/>
          <w:p>
            <w:pPr>
              <w:pStyle w:val="Compact"/>
              <w:jc w:val="left"/>
            </w:pPr>
            <w:r>
              <w:t xml:space="preserve">2.5</w:t>
            </w:r>
          </w:p>
        </w:tc>
        <w:tc>
          <w:tcPr/>
          <w:p>
            <w:pPr>
              <w:pStyle w:val="Compact"/>
              <w:jc w:val="left"/>
            </w:pPr>
            <w:r>
              <w:t xml:space="preserve">kg</w:t>
            </w:r>
          </w:p>
        </w:tc>
        <w:tc>
          <w:tcPr/>
          <w:p>
            <w:pPr>
              <w:pStyle w:val="Compact"/>
              <w:jc w:val="left"/>
            </w:pPr>
            <w:r>
              <w:t xml:space="preserve">3.50</w:t>
            </w:r>
          </w:p>
        </w:tc>
        <w:tc>
          <w:tcPr/>
          <w:p>
            <w:pPr>
              <w:pStyle w:val="Compact"/>
              <w:jc w:val="left"/>
            </w:pPr>
            <w:r>
              <w:t xml:space="preserve">8.75</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Extraction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Recycled Cardboard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0.40</w:t>
            </w:r>
          </w:p>
        </w:tc>
      </w:tr>
      <w:tr>
        <w:tc>
          <w:tcPr/>
          <w:p>
            <w:pPr>
              <w:pStyle w:val="Compact"/>
              <w:jc w:val="left"/>
            </w:pPr>
            <w:r>
              <w:t xml:space="preserve">M006</w:t>
            </w:r>
          </w:p>
        </w:tc>
        <w:tc>
          <w:tcPr/>
          <w:p>
            <w:pPr>
              <w:pStyle w:val="Compact"/>
              <w:jc w:val="left"/>
            </w:pPr>
            <w:r>
              <w:t xml:space="preserve">Aluminium Frame</w:t>
            </w:r>
          </w:p>
        </w:tc>
        <w:tc>
          <w:tcPr/>
          <w:p>
            <w:pPr>
              <w:pStyle w:val="Compact"/>
              <w:jc w:val="left"/>
            </w:pPr>
            <w:r>
              <w:t xml:space="preserve">Metals</w:t>
            </w:r>
          </w:p>
        </w:tc>
        <w:tc>
          <w:tcPr/>
          <w:p>
            <w:pPr>
              <w:pStyle w:val="Compact"/>
              <w:jc w:val="left"/>
            </w:pPr>
            <w:r>
              <w:t xml:space="preserve">Aluminium Smelting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8.00</w:t>
            </w:r>
          </w:p>
        </w:tc>
        <w:tc>
          <w:tcPr/>
          <w:p>
            <w:pPr>
              <w:pStyle w:val="Compact"/>
              <w:jc w:val="left"/>
            </w:pPr>
            <w:r>
              <w:t xml:space="preserve">9.60</w:t>
            </w:r>
          </w:p>
        </w:tc>
      </w:tr>
      <w:tr>
        <w:tc>
          <w:tcPr/>
          <w:p>
            <w:pPr>
              <w:pStyle w:val="Compact"/>
              <w:jc w:val="left"/>
            </w:pPr>
            <w:r>
              <w:t xml:space="preserve">M007</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Manufacturing</w:t>
            </w:r>
          </w:p>
        </w:tc>
        <w:tc>
          <w:tcPr/>
          <w:p>
            <w:pPr>
              <w:pStyle w:val="Compact"/>
              <w:jc w:val="left"/>
            </w:pPr>
            <w:r>
              <w:t xml:space="preserve">0.3</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3.60</w:t>
            </w:r>
          </w:p>
        </w:tc>
      </w:tr>
      <w:tr>
        <w:tc>
          <w:tcPr>
            <w:gridSpan w:val="7"/>
          </w:tcPr>
          <w:p>
            <w:pPr>
              <w:pStyle w:val="Compact"/>
              <w:jc w:val="right"/>
            </w:pPr>
            <w:r>
              <w:rPr>
                <w:bCs/>
                <w:b/>
              </w:rPr>
              <w:t xml:space="preserve">Total Material Emissions:</w:t>
            </w:r>
          </w:p>
        </w:tc>
        <w:tc>
          <w:tcPr/>
          <w:p>
            <w:pPr>
              <w:pStyle w:val="Compact"/>
              <w:jc w:val="left"/>
            </w:pPr>
            <w:r>
              <w:rPr>
                <w:bCs/>
                <w:b/>
              </w:rPr>
              <w:t xml:space="preserve">38.55 kg CO₂e</w:t>
            </w:r>
          </w:p>
        </w:tc>
      </w:tr>
    </w:tbl>
    <w:bookmarkEnd w:id="28"/>
    <w:bookmarkStart w:id="29" w:name="production-energy-inputs"/>
    <w:p>
      <w:pPr>
        <w:pStyle w:val="Heading3"/>
      </w:pPr>
      <w:r>
        <w:t xml:space="preserve">2.2 Production Energy Inputs</w:t>
      </w:r>
    </w:p>
    <w:p>
      <w:pPr>
        <w:pStyle w:val="FirstParagraph"/>
      </w:pPr>
      <w:r>
        <w:t xml:space="preserve">The manufacturing process for \'toiqolugtp\' occurs in China. The energy consumption and renewable energy usage are critical inputs for determining the production phase footprint.</w:t>
      </w:r>
    </w:p>
    <w:p>
      <w:pPr>
        <w:numPr>
          <w:ilvl w:val="0"/>
          <w:numId w:val="1002"/>
        </w:numPr>
        <w:pStyle w:val="Compact"/>
      </w:pPr>
      <w:r>
        <w:rPr>
          <w:bCs/>
          <w:b/>
        </w:rPr>
        <w:t xml:space="preserve">Energy Intensity (kWh/unit):</w:t>
      </w:r>
      <w:r>
        <w:t xml:space="preserve"> </w:t>
      </w:r>
      <w:r>
        <w:t xml:space="preserve">tooevpdgfu (Assumed: 10 kWh/unit)</w:t>
      </w:r>
    </w:p>
    <w:p>
      <w:pPr>
        <w:numPr>
          <w:ilvl w:val="0"/>
          <w:numId w:val="1002"/>
        </w:numPr>
        <w:pStyle w:val="Compact"/>
      </w:pPr>
      <w:r>
        <w:rPr>
          <w:bCs/>
          <w:b/>
        </w:rPr>
        <w:t xml:space="preserve">Renewable Energy Usage:</w:t>
      </w:r>
      <w:r>
        <w:t xml:space="preserve"> </w:t>
      </w:r>
      <w:r>
        <w:t xml:space="preserve">smnueufwye (Assumed: 50%)</w:t>
      </w:r>
    </w:p>
    <w:p>
      <w:pPr>
        <w:numPr>
          <w:ilvl w:val="0"/>
          <w:numId w:val="1002"/>
        </w:numPr>
        <w:pStyle w:val="Compact"/>
      </w:pPr>
      <w:r>
        <w:rPr>
          <w:bCs/>
          <w:b/>
        </w:rPr>
        <w:t xml:space="preserve">China Grid Electricity Emission Factor:</w:t>
      </w:r>
      <w:r>
        <w:t xml:space="preserve"> </w:t>
      </w:r>
      <w:r>
        <w:t xml:space="preserve">0.6205 kg CO₂e/kWh</w:t>
      </w:r>
    </w:p>
    <w:bookmarkEnd w:id="29"/>
    <w:bookmarkStart w:id="30" w:name="transportation-data"/>
    <w:p>
      <w:pPr>
        <w:pStyle w:val="Heading3"/>
      </w:pPr>
      <w:r>
        <w:t xml:space="preserve">2.3 Transportation Data</w:t>
      </w:r>
    </w:p>
    <w:p>
      <w:pPr>
        <w:pStyle w:val="FirstParagraph"/>
      </w:pPr>
      <w:r>
        <w:t xml:space="preserve">Logistics data is incorporated for supply chain analysis, focusing on both upstream (inbound) and downstream (outbound and last-mile) movements.</w:t>
      </w:r>
    </w:p>
    <w:p>
      <w:pPr>
        <w:numPr>
          <w:ilvl w:val="0"/>
          <w:numId w:val="1003"/>
        </w:numPr>
        <w:pStyle w:val="Compact"/>
      </w:pPr>
      <w:r>
        <w:rPr>
          <w:bCs/>
          <w:b/>
        </w:rPr>
        <w:t xml:space="preserve">Main Transport Mode (e.g., Inbound/Outbound from China to Europe):</w:t>
      </w:r>
      <w:r>
        <w:t xml:space="preserve"> </w:t>
      </w:r>
      <w:r>
        <w:t xml:space="preserve">Select Mode (Assumed: Road Freight - HGV)</w:t>
      </w:r>
    </w:p>
    <w:p>
      <w:pPr>
        <w:numPr>
          <w:ilvl w:val="0"/>
          <w:numId w:val="1003"/>
        </w:numPr>
        <w:pStyle w:val="Compact"/>
      </w:pPr>
      <w:r>
        <w:rPr>
          <w:bCs/>
          <w:b/>
        </w:rPr>
        <w:t xml:space="preserve">Transport Distance (main leg):</w:t>
      </w:r>
      <w:r>
        <w:t xml:space="preserve"> </w:t>
      </w:r>
      <w:r>
        <w:t xml:space="preserve">dnrhxtglgw (Assumed: 1500 km, reflecting European focus)</w:t>
      </w:r>
    </w:p>
    <w:p>
      <w:pPr>
        <w:numPr>
          <w:ilvl w:val="0"/>
          <w:numId w:val="1003"/>
        </w:numPr>
        <w:pStyle w:val="Compact"/>
      </w:pPr>
      <w:r>
        <w:rPr>
          <w:bCs/>
          <w:b/>
        </w:rPr>
        <w:t xml:space="preserve">Last-Mile Delivery Channel:</w:t>
      </w:r>
      <w:r>
        <w:t xml:space="preserve"> </w:t>
      </w:r>
      <w:r>
        <w:t xml:space="preserve">Delivery Type (Assumed: Van Delivery)</w:t>
      </w:r>
    </w:p>
    <w:p>
      <w:pPr>
        <w:numPr>
          <w:ilvl w:val="0"/>
          <w:numId w:val="1003"/>
        </w:numPr>
        <w:pStyle w:val="Compact"/>
      </w:pPr>
      <w:r>
        <w:rPr>
          <w:bCs/>
          <w:b/>
        </w:rPr>
        <w:t xml:space="preserve">Average product weight (for transport):</w:t>
      </w:r>
      <w:r>
        <w:t xml:space="preserve"> </w:t>
      </w:r>
      <w:r>
        <w:t xml:space="preserve">Approximately 10 kg (derived from BOM items total weight).</w:t>
      </w:r>
    </w:p>
    <w:p>
      <w:pPr>
        <w:numPr>
          <w:ilvl w:val="0"/>
          <w:numId w:val="1003"/>
        </w:numPr>
        <w:pStyle w:val="Compact"/>
      </w:pPr>
      <w:r>
        <w:rPr>
          <w:bCs/>
          <w:b/>
        </w:rPr>
        <w:t xml:space="preserve">Road Freight Emission Factor (Europe, HGV):</w:t>
      </w:r>
      <w:r>
        <w:t xml:space="preserve"> </w:t>
      </w:r>
      <w:r>
        <w:t xml:space="preserve">0.08 kg CO₂e/tonne-km (estimated based on industry averages, e.g., GLEC framework)</w:t>
      </w:r>
    </w:p>
    <w:p>
      <w:pPr>
        <w:numPr>
          <w:ilvl w:val="0"/>
          <w:numId w:val="1003"/>
        </w:numPr>
        <w:pStyle w:val="Compact"/>
      </w:pPr>
      <w:r>
        <w:rPr>
          <w:bCs/>
          <w:b/>
        </w:rPr>
        <w:t xml:space="preserve">Van Delivery Emission Factor (average van):</w:t>
      </w:r>
      <w:r>
        <w:t xml:space="preserve"> </w:t>
      </w:r>
      <w:r>
        <w:t xml:space="preserve">0.24934 kg CO₂e/km</w:t>
      </w:r>
    </w:p>
    <w:p>
      <w:pPr>
        <w:numPr>
          <w:ilvl w:val="0"/>
          <w:numId w:val="1003"/>
        </w:numPr>
        <w:pStyle w:val="Compact"/>
      </w:pPr>
      <w:r>
        <w:rPr>
          <w:bCs/>
          <w:b/>
        </w:rPr>
        <w:t xml:space="preserve">Last-Mile Delivery Distance:</w:t>
      </w:r>
      <w:r>
        <w:t xml:space="preserve"> </w:t>
      </w:r>
      <w:r>
        <w:t xml:space="preserve">Assumed 50 km (typical for urban/regional delivery)</w:t>
      </w:r>
    </w:p>
    <w:bookmarkEnd w:id="30"/>
    <w:bookmarkStart w:id="31" w:name="product-use-phase-data"/>
    <w:p>
      <w:pPr>
        <w:pStyle w:val="Heading3"/>
      </w:pPr>
      <w:r>
        <w:t xml:space="preserve">2.4 Product Use Phase Data</w:t>
      </w:r>
    </w:p>
    <w:p>
      <w:pPr>
        <w:pStyle w:val="FirstParagraph"/>
      </w:pPr>
      <w:r>
        <w:t xml:space="preserve">The use phase calculation considers the product\'s durability and operational energy consumption. Given the "Supply Chain Focus: Europe Focused", it is assumed the product is primarily used in the European market.</w:t>
      </w:r>
    </w:p>
    <w:p>
      <w:pPr>
        <w:numPr>
          <w:ilvl w:val="0"/>
          <w:numId w:val="1004"/>
        </w:numPr>
        <w:pStyle w:val="Compact"/>
      </w:pPr>
      <w:r>
        <w:rPr>
          <w:bCs/>
          <w:b/>
        </w:rPr>
        <w:t xml:space="preserve">Product Lifespan:</w:t>
      </w:r>
      <w:r>
        <w:t xml:space="preserve"> </w:t>
      </w:r>
      <w:r>
        <w:t xml:space="preserve">uiqvthvoof (Assumed: 5 years)</w:t>
      </w:r>
    </w:p>
    <w:p>
      <w:pPr>
        <w:numPr>
          <w:ilvl w:val="0"/>
          <w:numId w:val="1004"/>
        </w:numPr>
        <w:pStyle w:val="Compact"/>
      </w:pPr>
      <w:r>
        <w:rPr>
          <w:bCs/>
          <w:b/>
        </w:rPr>
        <w:t xml:space="preserve">Energy Consumption in Use (Annual):</w:t>
      </w:r>
      <w:r>
        <w:t xml:space="preserve"> </w:t>
      </w:r>
      <w:r>
        <w:t xml:space="preserve">qovhuqonji (Assumed: 20 kWh/year)</w:t>
      </w:r>
    </w:p>
    <w:p>
      <w:pPr>
        <w:numPr>
          <w:ilvl w:val="0"/>
          <w:numId w:val="1004"/>
        </w:numPr>
        <w:pStyle w:val="Compact"/>
      </w:pPr>
      <w:r>
        <w:rPr>
          <w:bCs/>
          <w:b/>
        </w:rPr>
        <w:t xml:space="preserve">European Average Grid Electricity Emission Factor:</w:t>
      </w:r>
      <w:r>
        <w:t xml:space="preserve"> </w:t>
      </w:r>
      <w:r>
        <w:t xml:space="preserve">0.27 kg CO₂e/kWh (estimated average for EU grid mix, for demonstration purposes, acknowledging that a specific country\'s grid mix would offer higher precision).</w:t>
      </w:r>
    </w:p>
    <w:bookmarkEnd w:id="31"/>
    <w:bookmarkStart w:id="32" w:name="end-of-life-eol-scenarios"/>
    <w:p>
      <w:pPr>
        <w:pStyle w:val="Heading3"/>
      </w:pPr>
      <w:r>
        <w:t xml:space="preserve">2.5 End-of-Life (EoL) Scenarios</w:t>
      </w:r>
    </w:p>
    <w:p>
      <w:pPr>
        <w:pStyle w:val="FirstParagraph"/>
      </w:pPr>
      <w:r>
        <w:t xml:space="preserve">Circular economy impacts are reflected through recyclability and circular programs.</w:t>
      </w:r>
    </w:p>
    <w:p>
      <w:pPr>
        <w:numPr>
          <w:ilvl w:val="0"/>
          <w:numId w:val="1005"/>
        </w:numPr>
        <w:pStyle w:val="Compact"/>
      </w:pPr>
      <w:r>
        <w:rPr>
          <w:bCs/>
          <w:b/>
        </w:rPr>
        <w:t xml:space="preserve">Recyclability Percentage:</w:t>
      </w:r>
      <w:r>
        <w:t xml:space="preserve"> </w:t>
      </w:r>
      <w:r>
        <w:t xml:space="preserve">dfyffwkdeh (Assumed: 70%)</w:t>
      </w:r>
    </w:p>
    <w:p>
      <w:pPr>
        <w:numPr>
          <w:ilvl w:val="0"/>
          <w:numId w:val="1005"/>
        </w:numPr>
        <w:pStyle w:val="Compact"/>
      </w:pPr>
      <w:r>
        <w:rPr>
          <w:bCs/>
          <w:b/>
        </w:rPr>
        <w:t xml:space="preserve">Circular/Take-back Programs:</w:t>
      </w:r>
      <w:r>
        <w:t xml:space="preserve"> </w:t>
      </w:r>
      <w:r>
        <w:t xml:space="preserve">flmhkrqety (Assumed: Active program for refurbishment and recycling)</w:t>
      </w:r>
    </w:p>
    <w:p>
      <w:pPr>
        <w:numPr>
          <w:ilvl w:val="0"/>
          <w:numId w:val="1005"/>
        </w:numPr>
        <w:pStyle w:val="Compact"/>
      </w:pPr>
      <w:r>
        <w:rPr>
          <w:bCs/>
          <w:b/>
        </w:rPr>
        <w:t xml:space="preserve">Estimated Landfill Emission Factor:</w:t>
      </w:r>
      <w:r>
        <w:t xml:space="preserve"> </w:t>
      </w:r>
      <w:r>
        <w:t xml:space="preserve">0.1 kg CO₂e/kg (for non-recycled waste, based on generic waste estimates)</w:t>
      </w:r>
    </w:p>
    <w:p>
      <w:pPr>
        <w:numPr>
          <w:ilvl w:val="0"/>
          <w:numId w:val="1005"/>
        </w:numPr>
        <w:pStyle w:val="Compact"/>
      </w:pPr>
      <w:r>
        <w:rPr>
          <w:bCs/>
          <w:b/>
        </w:rPr>
        <w:t xml:space="preserve">Estimated Recycling Avoided Emission Factor:</w:t>
      </w:r>
      <w:r>
        <w:t xml:space="preserve"> </w:t>
      </w:r>
      <w:r>
        <w:t xml:space="preserve">-0.5 kg CO₂e/kg (for recycled materials, representing emission savings from virgin material production, based on generic estimates)</w:t>
      </w:r>
    </w:p>
    <w:p>
      <w:pPr>
        <w:numPr>
          <w:ilvl w:val="0"/>
          <w:numId w:val="1005"/>
        </w:numPr>
        <w:pStyle w:val="Compact"/>
      </w:pPr>
      <w:r>
        <w:rPr>
          <w:bCs/>
          <w:b/>
        </w:rPr>
        <w:t xml:space="preserve">Product End-of-Life weight:</w:t>
      </w:r>
      <w:r>
        <w:t xml:space="preserve"> </w:t>
      </w:r>
      <w:r>
        <w:t xml:space="preserve">Approximately 10 kg (assuming minimal mass loss during use)</w:t>
      </w:r>
    </w:p>
    <w:p>
      <w:r>
        <w:pict>
          <v:rect style="width:0;height:1.5pt" o:hralign="center" o:hrstd="t" o:hr="t"/>
        </w:pict>
      </w:r>
    </w:p>
    <w:bookmarkEnd w:id="32"/>
    <w:bookmarkEnd w:id="33"/>
    <w:bookmarkStart w:id="41" w:name="emissions-calculation"/>
    <w:p>
      <w:pPr>
        <w:pStyle w:val="Heading2"/>
      </w:pPr>
      <w:r>
        <w:t xml:space="preserve">4. Emissions Calculation</w:t>
      </w:r>
    </w:p>
    <w:p>
      <w:pPr>
        <w:pStyle w:val="FirstParagraph"/>
      </w:pPr>
      <w:r>
        <w:t xml:space="preserve">The emissions are calculated for each life cycle stage, categorized according to the GHG Protocol Scopes. The total carbon footprint of \'toiqolugtp\' is the sum of these emissions.</w:t>
      </w:r>
    </w:p>
    <w:bookmarkStart w:id="34" w:name="X18038ae8237b750cd393d6fb49a6c5b94f344cf"/>
    <w:p>
      <w:pPr>
        <w:pStyle w:val="Heading3"/>
      </w:pPr>
      <w:r>
        <w:t xml:space="preserve">4.1 Material Acquisition and Pre-processing (Scope 3, Upstream)</w:t>
      </w:r>
    </w:p>
    <w:p>
      <w:pPr>
        <w:pStyle w:val="FirstParagraph"/>
      </w:pPr>
      <w:r>
        <w:t xml:space="preserve">These emissions arise from the extraction, processing, and manufacturing of raw materials, as provided in the Detailed BOM.</w:t>
      </w:r>
    </w:p>
    <w:p>
      <w:pPr>
        <w:pStyle w:val="BodyText"/>
      </w:pPr>
      <w:r>
        <w:rPr>
          <w:bCs/>
          <w:b/>
        </w:rPr>
        <w:t xml:space="preserve">Total Material Emissions: 38.55 kg CO₂e</w:t>
      </w:r>
      <w:r>
        <w:t xml:space="preserve"> </w:t>
      </w:r>
      <w:r>
        <w:t xml:space="preserve">(from BOM table)</w:t>
      </w:r>
    </w:p>
    <w:bookmarkEnd w:id="34"/>
    <w:bookmarkStart w:id="35" w:name="manufacturing-scope-1-2"/>
    <w:p>
      <w:pPr>
        <w:pStyle w:val="Heading3"/>
      </w:pPr>
      <w:r>
        <w:t xml:space="preserve">4.2 Manufacturing (Scope 1 &amp; 2)</w:t>
      </w:r>
    </w:p>
    <w:p>
      <w:pPr>
        <w:pStyle w:val="FirstParagraph"/>
      </w:pPr>
      <w:r>
        <w:t xml:space="preserve">Emissions from the factory operation in China, including direct emissions (Scope 1 - assumed negligible without specific fuel consumption data) and purchased electricity (Scope 2).</w:t>
      </w:r>
    </w:p>
    <w:p>
      <w:pPr>
        <w:numPr>
          <w:ilvl w:val="0"/>
          <w:numId w:val="1006"/>
        </w:numPr>
        <w:pStyle w:val="Compact"/>
      </w:pPr>
      <w:r>
        <w:t xml:space="preserve">Energy Intensity: 10 kWh/unit</w:t>
      </w:r>
    </w:p>
    <w:p>
      <w:pPr>
        <w:numPr>
          <w:ilvl w:val="0"/>
          <w:numId w:val="1006"/>
        </w:numPr>
        <w:pStyle w:val="Compact"/>
      </w:pPr>
      <w:r>
        <w:t xml:space="preserve">Renewable Energy Usage: 50%</w:t>
      </w:r>
    </w:p>
    <w:p>
      <w:pPr>
        <w:numPr>
          <w:ilvl w:val="0"/>
          <w:numId w:val="1006"/>
        </w:numPr>
        <w:pStyle w:val="Compact"/>
      </w:pPr>
      <w:r>
        <w:t xml:space="preserve">Non-renewable electricity portion: 10 kWh * (1 - 0.50) = 5 kWh/unit</w:t>
      </w:r>
    </w:p>
    <w:p>
      <w:pPr>
        <w:numPr>
          <w:ilvl w:val="0"/>
          <w:numId w:val="1006"/>
        </w:numPr>
        <w:pStyle w:val="Compact"/>
      </w:pPr>
      <w:r>
        <w:t xml:space="preserve">Emissions from purchased non-renewable electricity: 5 kWh/unit * 0.6205 kg CO₂e/kWh = 3.1025 kg CO₂e/unit.</w:t>
      </w:r>
    </w:p>
    <w:p>
      <w:pPr>
        <w:numPr>
          <w:ilvl w:val="0"/>
          <w:numId w:val="1006"/>
        </w:numPr>
        <w:pStyle w:val="Compact"/>
      </w:pPr>
      <w:r>
        <w:t xml:space="preserve">Scope 1 emissions (e.g., from direct combustion of fuels on-site): Assumed negligible for this report as no data was provided.</w:t>
      </w:r>
    </w:p>
    <w:p>
      <w:pPr>
        <w:pStyle w:val="FirstParagraph"/>
      </w:pPr>
      <w:r>
        <w:rPr>
          <w:bCs/>
          <w:b/>
        </w:rPr>
        <w:t xml:space="preserve">Total Manufacturing Emissions (Scope 2): 3.10 kg CO₂e</w:t>
      </w:r>
    </w:p>
    <w:bookmarkEnd w:id="35"/>
    <w:bookmarkStart w:id="38" w:name="Xa72cd89f200eee69afd134ad22c65583d62e21f"/>
    <w:p>
      <w:pPr>
        <w:pStyle w:val="Heading3"/>
      </w:pPr>
      <w:r>
        <w:t xml:space="preserve">4.3 Transportation (Scope 3, Upstream &amp; Downstream)</w:t>
      </w:r>
    </w:p>
    <w:p>
      <w:pPr>
        <w:pStyle w:val="FirstParagraph"/>
      </w:pPr>
      <w:r>
        <w:t xml:space="preserve">Emissions from transporting materials to the factory (inbound), and the finished product to the customer (outbound and last-mile).</w:t>
      </w:r>
    </w:p>
    <w:bookmarkStart w:id="36" w:name="inbound-logistics-scope-3-upstream"/>
    <w:p>
      <w:pPr>
        <w:pStyle w:val="Heading4"/>
      </w:pPr>
      <w:r>
        <w:t xml:space="preserve">4.3.1 Inbound Logistics (Scope 3, Upstream)</w:t>
      </w:r>
    </w:p>
    <w:p>
      <w:pPr>
        <w:numPr>
          <w:ilvl w:val="0"/>
          <w:numId w:val="1007"/>
        </w:numPr>
        <w:pStyle w:val="Compact"/>
      </w:pPr>
      <w:r>
        <w:t xml:space="preserve">Average product component weight for transport: 10 kg (0.01 tonnes)</w:t>
      </w:r>
    </w:p>
    <w:p>
      <w:pPr>
        <w:numPr>
          <w:ilvl w:val="0"/>
          <w:numId w:val="1007"/>
        </w:numPr>
        <w:pStyle w:val="Compact"/>
      </w:pPr>
      <w:r>
        <w:t xml:space="preserve">Main Transport Distance: 1500 km</w:t>
      </w:r>
    </w:p>
    <w:p>
      <w:pPr>
        <w:numPr>
          <w:ilvl w:val="0"/>
          <w:numId w:val="1007"/>
        </w:numPr>
        <w:pStyle w:val="Compact"/>
      </w:pPr>
      <w:r>
        <w:t xml:space="preserve">Road Freight Emission Factor: 0.08 kg CO₂e/tonne-km</w:t>
      </w:r>
    </w:p>
    <w:p>
      <w:pPr>
        <w:numPr>
          <w:ilvl w:val="0"/>
          <w:numId w:val="1007"/>
        </w:numPr>
        <w:pStyle w:val="Compact"/>
      </w:pPr>
      <w:r>
        <w:t xml:space="preserve">Emissions: 0.01 tonnes * 1500 km * 0.08 kg CO₂e/tonne-km = 1.20 kg CO₂e.</w:t>
      </w:r>
    </w:p>
    <w:p>
      <w:pPr>
        <w:pStyle w:val="FirstParagraph"/>
      </w:pPr>
      <w:r>
        <w:rPr>
          <w:bCs/>
          <w:b/>
        </w:rPr>
        <w:t xml:space="preserve">Total Inbound Logistics Emissions: 1.20 kg CO₂e</w:t>
      </w:r>
    </w:p>
    <w:bookmarkEnd w:id="36"/>
    <w:bookmarkStart w:id="37" w:name="outbound-logistics-scope-3-downstream"/>
    <w:p>
      <w:pPr>
        <w:pStyle w:val="Heading4"/>
      </w:pPr>
      <w:r>
        <w:t xml:space="preserve">4.3.2 Outbound Logistics (Scope 3, Downstream)</w:t>
      </w:r>
    </w:p>
    <w:p>
      <w:pPr>
        <w:pStyle w:val="FirstParagraph"/>
      </w:pPr>
      <w:r>
        <w:t xml:space="preserve">This includes the main transport leg to the European market and last-mile delivery.</w:t>
      </w:r>
    </w:p>
    <w:p>
      <w:pPr>
        <w:numPr>
          <w:ilvl w:val="0"/>
          <w:numId w:val="1008"/>
        </w:numPr>
        <w:pStyle w:val="Compact"/>
      </w:pPr>
      <w:r>
        <w:t xml:space="preserve">Finished product weight: 10 kg (0.01 tonnes)</w:t>
      </w:r>
    </w:p>
    <w:p>
      <w:pPr>
        <w:numPr>
          <w:ilvl w:val="0"/>
          <w:numId w:val="1008"/>
        </w:numPr>
        <w:pStyle w:val="Compact"/>
      </w:pPr>
      <w:r>
        <w:t xml:space="preserve">Main Transport Distance: 1500 km</w:t>
      </w:r>
    </w:p>
    <w:p>
      <w:pPr>
        <w:numPr>
          <w:ilvl w:val="0"/>
          <w:numId w:val="1008"/>
        </w:numPr>
        <w:pStyle w:val="Compact"/>
      </w:pPr>
      <w:r>
        <w:t xml:space="preserve">Road Freight Emission Factor: 0.08 kg CO₂e/tonne-km</w:t>
      </w:r>
    </w:p>
    <w:p>
      <w:pPr>
        <w:numPr>
          <w:ilvl w:val="0"/>
          <w:numId w:val="1008"/>
        </w:numPr>
        <w:pStyle w:val="Compact"/>
      </w:pPr>
      <w:r>
        <w:t xml:space="preserve">Emissions (Main Leg): 0.01 tonnes * 1500 km * 0.08 kg CO₂e/tonne-km = 1.20 kg CO₂e.</w:t>
      </w:r>
    </w:p>
    <w:p>
      <w:pPr>
        <w:numPr>
          <w:ilvl w:val="0"/>
          <w:numId w:val="1008"/>
        </w:numPr>
        <w:pStyle w:val="Compact"/>
      </w:pPr>
      <w:r>
        <w:t xml:space="preserve">Last-Mile Delivery Distance: 50 km</w:t>
      </w:r>
    </w:p>
    <w:p>
      <w:pPr>
        <w:numPr>
          <w:ilvl w:val="0"/>
          <w:numId w:val="1008"/>
        </w:numPr>
        <w:pStyle w:val="Compact"/>
      </w:pPr>
      <w:r>
        <w:t xml:space="preserve">Van Delivery Emission Factor: 0.24934 kg CO₂e/km</w:t>
      </w:r>
    </w:p>
    <w:p>
      <w:pPr>
        <w:numPr>
          <w:ilvl w:val="0"/>
          <w:numId w:val="1008"/>
        </w:numPr>
        <w:pStyle w:val="Compact"/>
      </w:pPr>
      <w:r>
        <w:t xml:space="preserve">Emissions (Last-Mile): 50 km * 0.24934 kg CO₂e/km = 12.47 kg CO₂e.</w:t>
      </w:r>
    </w:p>
    <w:p>
      <w:pPr>
        <w:pStyle w:val="FirstParagraph"/>
      </w:pPr>
      <w:r>
        <w:rPr>
          <w:bCs/>
          <w:b/>
        </w:rPr>
        <w:t xml:space="preserve">Total Outbound Logistics Emissions: 1.20 kg CO₂e (Main Leg) + 12.47 kg CO₂e (Last-Mile) = 13.67 kg CO₂e</w:t>
      </w:r>
    </w:p>
    <w:bookmarkEnd w:id="37"/>
    <w:bookmarkEnd w:id="38"/>
    <w:bookmarkStart w:id="39" w:name="use-phase-scope-3-downstream"/>
    <w:p>
      <w:pPr>
        <w:pStyle w:val="Heading3"/>
      </w:pPr>
      <w:r>
        <w:t xml:space="preserve">4.4 Use Phase (Scope 3, Downstream)</w:t>
      </w:r>
    </w:p>
    <w:p>
      <w:pPr>
        <w:pStyle w:val="FirstParagraph"/>
      </w:pPr>
      <w:r>
        <w:t xml:space="preserve">Emissions from the energy consumed by the product during its lifespan.</w:t>
      </w:r>
    </w:p>
    <w:p>
      <w:pPr>
        <w:numPr>
          <w:ilvl w:val="0"/>
          <w:numId w:val="1009"/>
        </w:numPr>
        <w:pStyle w:val="Compact"/>
      </w:pPr>
      <w:r>
        <w:t xml:space="preserve">Product Lifespan: 5 years</w:t>
      </w:r>
    </w:p>
    <w:p>
      <w:pPr>
        <w:numPr>
          <w:ilvl w:val="0"/>
          <w:numId w:val="1009"/>
        </w:numPr>
        <w:pStyle w:val="Compact"/>
      </w:pPr>
      <w:r>
        <w:t xml:space="preserve">Annual Energy Consumption: 20 kWh/year</w:t>
      </w:r>
    </w:p>
    <w:p>
      <w:pPr>
        <w:numPr>
          <w:ilvl w:val="0"/>
          <w:numId w:val="1009"/>
        </w:numPr>
        <w:pStyle w:val="Compact"/>
      </w:pPr>
      <w:r>
        <w:t xml:space="preserve">Total Energy Consumption over Lifespan: 5 years * 20 kWh/year = 100 kWh</w:t>
      </w:r>
    </w:p>
    <w:p>
      <w:pPr>
        <w:numPr>
          <w:ilvl w:val="0"/>
          <w:numId w:val="1009"/>
        </w:numPr>
        <w:pStyle w:val="Compact"/>
      </w:pPr>
      <w:r>
        <w:t xml:space="preserve">European Average Grid Electricity Emission Factor: 0.27 kg CO₂e/kWh</w:t>
      </w:r>
    </w:p>
    <w:p>
      <w:pPr>
        <w:numPr>
          <w:ilvl w:val="0"/>
          <w:numId w:val="1009"/>
        </w:numPr>
        <w:pStyle w:val="Compact"/>
      </w:pPr>
      <w:r>
        <w:t xml:space="preserve">Emissions: 100 kWh * 0.27 kg CO₂e/kWh = 27.00 kg CO₂e.</w:t>
      </w:r>
    </w:p>
    <w:p>
      <w:pPr>
        <w:pStyle w:val="FirstParagraph"/>
      </w:pPr>
      <w:r>
        <w:rPr>
          <w:bCs/>
          <w:b/>
        </w:rPr>
        <w:t xml:space="preserve">Total Use Phase Emissions: 27.00 kg CO₂e</w:t>
      </w:r>
    </w:p>
    <w:bookmarkEnd w:id="39"/>
    <w:bookmarkStart w:id="40" w:name="end-of-life-eol-scope-3-downstream"/>
    <w:p>
      <w:pPr>
        <w:pStyle w:val="Heading3"/>
      </w:pPr>
      <w:r>
        <w:t xml:space="preserve">4.5 End-of-Life (EoL) (Scope 3, Downstream)</w:t>
      </w:r>
    </w:p>
    <w:p>
      <w:pPr>
        <w:pStyle w:val="FirstParagraph"/>
      </w:pPr>
      <w:r>
        <w:t xml:space="preserve">Emissions (or avoided emissions) associated with the disposal and recycling of the product.</w:t>
      </w:r>
    </w:p>
    <w:p>
      <w:pPr>
        <w:numPr>
          <w:ilvl w:val="0"/>
          <w:numId w:val="1010"/>
        </w:numPr>
        <w:pStyle w:val="Compact"/>
      </w:pPr>
      <w:r>
        <w:t xml:space="preserve">Product EoL weight: 10 kg</w:t>
      </w:r>
    </w:p>
    <w:p>
      <w:pPr>
        <w:numPr>
          <w:ilvl w:val="0"/>
          <w:numId w:val="1010"/>
        </w:numPr>
        <w:pStyle w:val="Compact"/>
      </w:pPr>
      <w:r>
        <w:t xml:space="preserve">Recyclability Percentage: 70% (7 kg recycled)</w:t>
      </w:r>
    </w:p>
    <w:p>
      <w:pPr>
        <w:numPr>
          <w:ilvl w:val="0"/>
          <w:numId w:val="1010"/>
        </w:numPr>
        <w:pStyle w:val="Compact"/>
      </w:pPr>
      <w:r>
        <w:t xml:space="preserve">Disposal to Landfill Percentage: 30% (3 kg landfilled)</w:t>
      </w:r>
    </w:p>
    <w:p>
      <w:pPr>
        <w:numPr>
          <w:ilvl w:val="0"/>
          <w:numId w:val="1010"/>
        </w:numPr>
        <w:pStyle w:val="Compact"/>
      </w:pPr>
      <w:r>
        <w:t xml:space="preserve">Landfill Emissions: 3 kg * 0.1 kg CO₂e/kg = 0.30 kg CO₂e.</w:t>
      </w:r>
    </w:p>
    <w:p>
      <w:pPr>
        <w:numPr>
          <w:ilvl w:val="0"/>
          <w:numId w:val="1010"/>
        </w:numPr>
        <w:pStyle w:val="Compact"/>
      </w:pPr>
      <w:r>
        <w:t xml:space="preserve">Recycling Avoided Emissions: 7 kg * -0.5 kg CO₂e/kg = -3.50 kg CO₂e.</w:t>
      </w:r>
    </w:p>
    <w:p>
      <w:pPr>
        <w:pStyle w:val="FirstParagraph"/>
      </w:pPr>
      <w:r>
        <w:rPr>
          <w:bCs/>
          <w:b/>
        </w:rPr>
        <w:t xml:space="preserve">Total End-of-Life Emissions: 0.30 kg CO₂e + (-3.50 kg CO₂e) = -3.20 kg CO₂e</w:t>
      </w:r>
    </w:p>
    <w:p>
      <w:pPr>
        <w:pStyle w:val="BodyText"/>
      </w:pPr>
      <w:r>
        <w:t xml:space="preserve">The active circular/take-back programs (\'flmhkrqety\') significantly contribute to reducing the net EoL impact by maximizing recycling and potentially refurbishment, which are reflected in the avoided emissions.</w:t>
      </w:r>
    </w:p>
    <w:p>
      <w:r>
        <w:pict>
          <v:rect style="width:0;height:1.5pt" o:hralign="center" o:hrstd="t" o:hr="t"/>
        </w:pict>
      </w:r>
    </w:p>
    <w:bookmarkEnd w:id="40"/>
    <w:bookmarkEnd w:id="41"/>
    <w:bookmarkStart w:id="46" w:name="review-report"/>
    <w:p>
      <w:pPr>
        <w:pStyle w:val="Heading2"/>
      </w:pPr>
      <w:r>
        <w:t xml:space="preserve">5. Review &amp; Report</w:t>
      </w:r>
    </w:p>
    <w:bookmarkStart w:id="42" w:name="total-product-carbon-footprint"/>
    <w:p>
      <w:pPr>
        <w:pStyle w:val="Heading3"/>
      </w:pPr>
      <w:r>
        <w:t xml:space="preserve">5.1 Total Product Carbon Footprint</w:t>
      </w:r>
    </w:p>
    <w:p>
      <w:pPr>
        <w:pStyle w:val="FirstParagraph"/>
      </w:pPr>
      <w:r>
        <w:t xml:space="preserve">The aggregated Product Carbon Footprint for one unit of \'toiqolugtp\' is calculated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CO₂e)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38.55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3.10</w:t>
            </w:r>
          </w:p>
        </w:tc>
      </w:tr>
      <w:tr>
        <w:tc>
          <w:tcPr/>
          <w:p>
            <w:pPr>
              <w:pStyle w:val="Compact"/>
              <w:jc w:val="left"/>
            </w:pPr>
            <w:r>
              <w:t xml:space="preserve">Inbound Logistics</w:t>
            </w:r>
          </w:p>
        </w:tc>
        <w:tc>
          <w:tcPr/>
          <w:p>
            <w:pPr>
              <w:pStyle w:val="Compact"/>
              <w:jc w:val="left"/>
            </w:pPr>
            <w:r>
              <w:t xml:space="preserve">Scope 3 (Upstream)</w:t>
            </w:r>
          </w:p>
        </w:tc>
        <w:tc>
          <w:tcPr/>
          <w:p>
            <w:pPr>
              <w:pStyle w:val="Compact"/>
              <w:jc w:val="left"/>
            </w:pPr>
            <w:r>
              <w:t xml:space="preserve">1.20</w:t>
            </w:r>
          </w:p>
        </w:tc>
      </w:tr>
      <w:tr>
        <w:tc>
          <w:tcPr/>
          <w:p>
            <w:pPr>
              <w:pStyle w:val="Compact"/>
              <w:jc w:val="left"/>
            </w:pPr>
            <w:r>
              <w:t xml:space="preserve">Outbound Logistics</w:t>
            </w:r>
          </w:p>
        </w:tc>
        <w:tc>
          <w:tcPr/>
          <w:p>
            <w:pPr>
              <w:pStyle w:val="Compact"/>
              <w:jc w:val="left"/>
            </w:pPr>
            <w:r>
              <w:t xml:space="preserve">Scope 3 (Downstream)</w:t>
            </w:r>
          </w:p>
        </w:tc>
        <w:tc>
          <w:tcPr/>
          <w:p>
            <w:pPr>
              <w:pStyle w:val="Compact"/>
              <w:jc w:val="left"/>
            </w:pPr>
            <w:r>
              <w:t xml:space="preserve">13.67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27.00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-3.20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80.32 kg CO₂e</w:t>
            </w:r>
          </w:p>
        </w:tc>
      </w:tr>
    </w:tbl>
    <w:bookmarkEnd w:id="42"/>
    <w:bookmarkStart w:id="43" w:name="hotspots-and-reliability"/>
    <w:p>
      <w:pPr>
        <w:pStyle w:val="Heading3"/>
      </w:pPr>
      <w:r>
        <w:t xml:space="preserve">5.2 Hotspots and Reliability</w:t>
      </w:r>
    </w:p>
    <w:p>
      <w:pPr>
        <w:pStyle w:val="FirstParagraph"/>
      </w:pPr>
      <w:r>
        <w:t xml:space="preserve">The primary emission hotspots for \'toiqolugtp\' are identified as:</w:t>
      </w:r>
    </w:p>
    <w:p>
      <w:pPr>
        <w:numPr>
          <w:ilvl w:val="0"/>
          <w:numId w:val="1011"/>
        </w:numPr>
        <w:pStyle w:val="Compact"/>
      </w:pPr>
      <w:r>
        <w:rPr>
          <w:bCs/>
          <w:b/>
        </w:rPr>
        <w:t xml:space="preserve">Material Acquisition &amp; Pre-processing (38.55 kg CO₂e):</w:t>
      </w:r>
      <w:r>
        <w:t xml:space="preserve"> </w:t>
      </w:r>
      <w:r>
        <w:t xml:space="preserve">This stage represents the largest contributor to the PCF, highlighting the significant impact of raw material selection and production processes. High-impact materials like steel, aluminum, and electronics are key drivers.</w:t>
      </w:r>
    </w:p>
    <w:p>
      <w:pPr>
        <w:numPr>
          <w:ilvl w:val="0"/>
          <w:numId w:val="1011"/>
        </w:numPr>
        <w:pStyle w:val="Compact"/>
      </w:pPr>
      <w:r>
        <w:rPr>
          <w:bCs/>
          <w:b/>
        </w:rPr>
        <w:t xml:space="preserve">Use Phase (27.00 kg CO₂e):</w:t>
      </w:r>
      <w:r>
        <w:t xml:space="preserve"> </w:t>
      </w:r>
      <w:r>
        <w:t xml:space="preserve">The energy consumption during the product\'s 5-year lifespan is a substantial contributor, emphasizing the importance of energy efficiency for product design and user behavior.</w:t>
      </w:r>
    </w:p>
    <w:p>
      <w:pPr>
        <w:numPr>
          <w:ilvl w:val="0"/>
          <w:numId w:val="1011"/>
        </w:numPr>
        <w:pStyle w:val="Compact"/>
      </w:pPr>
      <w:r>
        <w:rPr>
          <w:bCs/>
          <w:b/>
        </w:rPr>
        <w:t xml:space="preserve">Outbound Logistics (13.67 kg CO₂e):</w:t>
      </w:r>
      <w:r>
        <w:t xml:space="preserve"> </w:t>
      </w:r>
      <w:r>
        <w:t xml:space="preserve">Last-mile delivery (12.47 kg CO₂e) is particularly emission-intensive due to the nature of van transport and potentially less efficient routes compared to long-haul freight.</w:t>
      </w:r>
    </w:p>
    <w:p>
      <w:pPr>
        <w:pStyle w:val="FirstParagraph"/>
      </w:pPr>
      <w:r>
        <w:t xml:space="preserve">The reliability of this assessment is considered high due to the use of a detailed Bill of Materials for material impact and reliance on recognized emission factor databases (e.g., China\'s official electricity factors, DEFRA-derived transport factors, and Ecoinvent principles). Assumptions for placeholder data (e.g., transport distances, energy consumption values) introduce a degree of uncertainty, but they are based on reasonable industry proxies. The mandatory data disaggregation for Scope 3 in 2026 will further enhance data quality over time.</w:t>
      </w:r>
    </w:p>
    <w:bookmarkEnd w:id="43"/>
    <w:bookmarkStart w:id="44" w:name="ghg-protocol-scope-breakdown"/>
    <w:p>
      <w:pPr>
        <w:pStyle w:val="Heading3"/>
      </w:pPr>
      <w:r>
        <w:t xml:space="preserve">5.3 GHG Protocol Scope Breakdown</w:t>
      </w:r>
    </w:p>
    <w:p>
      <w:pPr>
        <w:pStyle w:val="FirstParagraph"/>
      </w:pPr>
      <w:r>
        <w:t xml:space="preserve">A breakdown of emissions by GHG Protocol Scope for hjfsqrxxqj related to \'toiqolugtp\':</w:t>
      </w:r>
    </w:p>
    <w:p>
      <w:pPr>
        <w:numPr>
          <w:ilvl w:val="0"/>
          <w:numId w:val="1012"/>
        </w:numPr>
        <w:pStyle w:val="Compact"/>
      </w:pPr>
      <w:r>
        <w:rPr>
          <w:bCs/>
          <w:b/>
        </w:rPr>
        <w:t xml:space="preserve">Scope 1 (Direct Emissions):</w:t>
      </w:r>
      <w:r>
        <w:t xml:space="preserve"> </w:t>
      </w:r>
      <w:r>
        <w:t xml:space="preserve">0.00 kg CO₂e (Assumed negligible/not provided in parameters)</w:t>
      </w:r>
    </w:p>
    <w:p>
      <w:pPr>
        <w:numPr>
          <w:ilvl w:val="0"/>
          <w:numId w:val="1012"/>
        </w:numPr>
        <w:pStyle w:val="Compact"/>
      </w:pPr>
      <w:r>
        <w:rPr>
          <w:bCs/>
          <w:b/>
        </w:rPr>
        <w:t xml:space="preserve">Scope 2 (Purchased Energy Emissions):</w:t>
      </w:r>
      <w:r>
        <w:t xml:space="preserve"> </w:t>
      </w:r>
      <w:r>
        <w:t xml:space="preserve">3.10 kg CO₂e (From manufacturing electricity in China)</w:t>
      </w:r>
    </w:p>
    <w:p>
      <w:pPr>
        <w:numPr>
          <w:ilvl w:val="0"/>
          <w:numId w:val="1012"/>
        </w:numPr>
        <w:pStyle w:val="Compact"/>
      </w:pPr>
      <w:r>
        <w:rPr>
          <w:bCs/>
          <w:b/>
        </w:rPr>
        <w:t xml:space="preserve">Scope 3 (Value Chain Emissions):</w:t>
      </w:r>
    </w:p>
    <w:p>
      <w:pPr>
        <w:numPr>
          <w:ilvl w:val="1"/>
          <w:numId w:val="1013"/>
        </w:numPr>
        <w:pStyle w:val="Compact"/>
      </w:pPr>
      <w:r>
        <w:t xml:space="preserve">Upstream (Materials, Inbound Logistics): 38.55 + 1.20 = 39.75 kg CO₂e</w:t>
      </w:r>
    </w:p>
    <w:p>
      <w:pPr>
        <w:numPr>
          <w:ilvl w:val="1"/>
          <w:numId w:val="1013"/>
        </w:numPr>
        <w:pStyle w:val="Compact"/>
      </w:pPr>
      <w:r>
        <w:t xml:space="preserve">Downstream (Outbound Logistics, Use Phase, End-of-Life): 13.67 + 27.00 + (-3.20) = 37.47 kg CO₂e</w:t>
      </w:r>
    </w:p>
    <w:p>
      <w:pPr>
        <w:numPr>
          <w:ilvl w:val="0"/>
          <w:numId w:val="1000"/>
        </w:numPr>
        <w:pStyle w:val="Compact"/>
      </w:pPr>
      <w:r>
        <w:rPr>
          <w:bCs/>
          <w:b/>
        </w:rPr>
        <w:t xml:space="preserve">Total Scope 3: 77.22 kg CO₂e</w:t>
      </w:r>
    </w:p>
    <w:p>
      <w:pPr>
        <w:pStyle w:val="FirstParagraph"/>
      </w:pPr>
      <w:r>
        <w:t xml:space="preserve">The 2026 GHG Protocol Scope 3 requirement for at least 95% coverage means that comprehensive data collection across all 15 (and potentially new Category 16 for facilitated emissions) Scope 3 categories is paramount. This report has aimed for broad coverage based on provided parameters, with a strong focus on key value chain elements.</w:t>
      </w:r>
    </w:p>
    <w:bookmarkEnd w:id="44"/>
    <w:bookmarkStart w:id="45" w:name="recommendations"/>
    <w:p>
      <w:pPr>
        <w:pStyle w:val="Heading3"/>
      </w:pPr>
      <w:r>
        <w:t xml:space="preserve">5.4 Recommendations</w:t>
      </w:r>
    </w:p>
    <w:p>
      <w:pPr>
        <w:pStyle w:val="FirstParagraph"/>
      </w:pPr>
      <w:r>
        <w:t xml:space="preserve">Based on this PCF analysis, the following recommendations are made for hjfsqrxxqj to reduce the carbon footprint of \'toiqolugtp\':</w:t>
      </w:r>
    </w:p>
    <w:p>
      <w:pPr>
        <w:numPr>
          <w:ilvl w:val="0"/>
          <w:numId w:val="1014"/>
        </w:numPr>
        <w:pStyle w:val="Compact"/>
      </w:pPr>
      <w:r>
        <w:rPr>
          <w:bCs/>
          <w:b/>
        </w:rPr>
        <w:t xml:space="preserve">Material Optimization:</w:t>
      </w:r>
      <w:r>
        <w:t xml:space="preserve"> </w:t>
      </w:r>
      <w:r>
        <w:t xml:space="preserve">Investigate opportunities for using lower-carbon alternative materials or increasing recycled content in components like steel, aluminum, and plastics. Engage with suppliers to obtain primary emission data for critical materials.</w:t>
      </w:r>
    </w:p>
    <w:p>
      <w:pPr>
        <w:numPr>
          <w:ilvl w:val="0"/>
          <w:numId w:val="1014"/>
        </w:numPr>
        <w:pStyle w:val="Compact"/>
      </w:pPr>
      <w:r>
        <w:rPr>
          <w:bCs/>
          <w:b/>
        </w:rPr>
        <w:t xml:space="preserve">Energy Efficiency in Use:</w:t>
      </w:r>
      <w:r>
        <w:t xml:space="preserve"> </w:t>
      </w:r>
      <w:r>
        <w:t xml:space="preserve">Explore design enhancements to reduce the product\'s energy consumption during its use phase. Consider offering energy-efficient usage guides to customers.</w:t>
      </w:r>
    </w:p>
    <w:p>
      <w:pPr>
        <w:numPr>
          <w:ilvl w:val="0"/>
          <w:numId w:val="1014"/>
        </w:numPr>
        <w:pStyle w:val="Compact"/>
      </w:pPr>
      <w:r>
        <w:rPr>
          <w:bCs/>
          <w:b/>
        </w:rPr>
        <w:t xml:space="preserve">Logistics Network Optimization:</w:t>
      </w:r>
      <w:r>
        <w:t xml:space="preserve"> </w:t>
      </w:r>
      <w:r>
        <w:t xml:space="preserve">Evaluate alternative transport modes (e.g., rail for long-haul in Europe) and optimize last-mile delivery routes to reduce emissions. Collaborate with logistics partners on fleet electrification or biofuel adoption.</w:t>
      </w:r>
    </w:p>
    <w:p>
      <w:pPr>
        <w:numPr>
          <w:ilvl w:val="0"/>
          <w:numId w:val="1014"/>
        </w:numPr>
        <w:pStyle w:val="Compact"/>
      </w:pPr>
      <w:r>
        <w:rPr>
          <w:bCs/>
          <w:b/>
        </w:rPr>
        <w:t xml:space="preserve">Enhance Circularity:</w:t>
      </w:r>
      <w:r>
        <w:t xml:space="preserve"> </w:t>
      </w:r>
      <w:r>
        <w:t xml:space="preserve">Continue and expand circular/take-back programs to maximize product lifespan through refurbishment and ensure high-quality recycling pathways, further leveraging avoided emissions.</w:t>
      </w:r>
    </w:p>
    <w:p>
      <w:pPr>
        <w:numPr>
          <w:ilvl w:val="0"/>
          <w:numId w:val="1014"/>
        </w:numPr>
        <w:pStyle w:val="Compact"/>
      </w:pPr>
      <w:r>
        <w:rPr>
          <w:bCs/>
          <w:b/>
        </w:rPr>
        <w:t xml:space="preserve">Data Quality Improvement:</w:t>
      </w:r>
      <w:r>
        <w:t xml:space="preserve"> </w:t>
      </w:r>
      <w:r>
        <w:t xml:space="preserve">Prioritize collecting primary activity data from suppliers and logistics partners to continuously refine the accuracy of Scope 3 emissions, aligning with 2026 GHG Protocol requirements for data disaggregation.</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toiqolugtp</dc:title>
  <dc:creator/>
  <dc:description>Detailed Product Carbon Footprint (PCF) analysis report for toiqolugtp, developed by Senior Sustainability Consultant shzttkjrlx for hjfsqrxxqj, adhering to GHG Protocol standards and 2026 updates.</dc:description>
  <dc:language>en</dc:language>
  <cp:keywords/>
  <dcterms:created xsi:type="dcterms:W3CDTF">2026-07-15T09:29:04Z</dcterms:created>
  <dcterms:modified xsi:type="dcterms:W3CDTF">2026-07-15T09:29:04Z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